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C44A" w14:textId="77777777" w:rsidR="00FE26C8" w:rsidRPr="00FE26C8" w:rsidRDefault="00FE26C8" w:rsidP="00FE26C8">
      <w:pPr>
        <w:spacing w:after="0" w:line="240" w:lineRule="auto"/>
        <w:jc w:val="both"/>
        <w:rPr>
          <w:rFonts w:eastAsia="Times New Roman" w:cs="Arial"/>
          <w:b/>
          <w:color w:val="25282A"/>
          <w:szCs w:val="24"/>
          <w:lang w:val="en-US"/>
        </w:rPr>
      </w:pPr>
    </w:p>
    <w:p w14:paraId="6DC52911" w14:textId="77777777" w:rsidR="00FE26C8" w:rsidRPr="00FE26C8" w:rsidRDefault="00FE26C8" w:rsidP="00FE26C8">
      <w:pPr>
        <w:spacing w:after="0" w:line="240" w:lineRule="auto"/>
        <w:rPr>
          <w:rFonts w:ascii="Times New Roman" w:eastAsia="Times New Roman" w:hAnsi="Times New Roman" w:cs="Arial"/>
          <w:sz w:val="24"/>
          <w:szCs w:val="24"/>
          <w:lang w:val="en-US"/>
        </w:rPr>
      </w:pPr>
    </w:p>
    <w:p w14:paraId="3FC55761" w14:textId="77777777" w:rsidR="00FE26C8" w:rsidRPr="00FE26C8" w:rsidRDefault="00FE26C8" w:rsidP="00FE26C8">
      <w:pPr>
        <w:spacing w:line="240" w:lineRule="auto"/>
        <w:rPr>
          <w:rFonts w:ascii="Times New Roman" w:eastAsia="Times New Roman" w:hAnsi="Times New Roman" w:cs="Arial"/>
          <w:sz w:val="24"/>
          <w:szCs w:val="24"/>
          <w:lang w:val="en-US"/>
        </w:rPr>
      </w:pPr>
    </w:p>
    <w:p w14:paraId="10B5F4CA" w14:textId="77777777" w:rsidR="00FE26C8" w:rsidRPr="00FE26C8" w:rsidRDefault="00FE26C8" w:rsidP="00FE26C8">
      <w:pPr>
        <w:spacing w:line="240" w:lineRule="auto"/>
        <w:rPr>
          <w:rFonts w:ascii="Times New Roman" w:eastAsia="Times New Roman" w:hAnsi="Times New Roman" w:cs="Arial"/>
          <w:sz w:val="24"/>
          <w:szCs w:val="24"/>
          <w:lang w:val="en-US"/>
        </w:rPr>
      </w:pPr>
    </w:p>
    <w:p w14:paraId="2F7CA6FA" w14:textId="77777777" w:rsidR="00FE26C8" w:rsidRPr="00FE26C8" w:rsidRDefault="00FE26C8" w:rsidP="00FE26C8">
      <w:pPr>
        <w:spacing w:line="240" w:lineRule="auto"/>
        <w:rPr>
          <w:rFonts w:ascii="Times New Roman" w:eastAsia="Times New Roman" w:hAnsi="Times New Roman" w:cs="Arial"/>
          <w:sz w:val="24"/>
          <w:szCs w:val="24"/>
          <w:lang w:val="en-US"/>
        </w:rPr>
      </w:pPr>
    </w:p>
    <w:p w14:paraId="5C1E8422" w14:textId="77777777" w:rsidR="00FE26C8" w:rsidRPr="00FE26C8" w:rsidRDefault="00FE26C8" w:rsidP="00FE26C8">
      <w:pPr>
        <w:spacing w:line="240" w:lineRule="auto"/>
        <w:rPr>
          <w:rFonts w:eastAsia="Times New Roman"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E26C8" w:rsidRPr="00FE26C8" w14:paraId="74BA7745" w14:textId="77777777" w:rsidTr="00584A7F">
        <w:tc>
          <w:tcPr>
            <w:tcW w:w="10420" w:type="dxa"/>
            <w:shd w:val="clear" w:color="auto" w:fill="auto"/>
          </w:tcPr>
          <w:p w14:paraId="19BFF8DA" w14:textId="77777777" w:rsidR="00FE26C8" w:rsidRPr="00FE26C8" w:rsidRDefault="00FE26C8" w:rsidP="00FE26C8">
            <w:pPr>
              <w:spacing w:after="0" w:line="240" w:lineRule="auto"/>
              <w:rPr>
                <w:rFonts w:eastAsia="Times New Roman" w:cs="Arial"/>
                <w:sz w:val="40"/>
                <w:szCs w:val="40"/>
                <w:lang w:val="en-US"/>
              </w:rPr>
            </w:pPr>
            <w:r w:rsidRPr="00FE26C8">
              <w:rPr>
                <w:rFonts w:eastAsia="Times New Roman" w:cs="Arial"/>
                <w:sz w:val="40"/>
                <w:szCs w:val="40"/>
                <w:lang w:val="en-US"/>
              </w:rPr>
              <w:t>Document Type: Policy</w:t>
            </w:r>
          </w:p>
        </w:tc>
      </w:tr>
      <w:tr w:rsidR="00FE26C8" w:rsidRPr="00FE26C8" w14:paraId="7E600531" w14:textId="77777777" w:rsidTr="00584A7F">
        <w:tc>
          <w:tcPr>
            <w:tcW w:w="10420" w:type="dxa"/>
            <w:shd w:val="clear" w:color="auto" w:fill="auto"/>
          </w:tcPr>
          <w:p w14:paraId="307E751F" w14:textId="77777777" w:rsidR="00FE26C8" w:rsidRPr="00FE26C8" w:rsidRDefault="00FE26C8" w:rsidP="00FE26C8">
            <w:pPr>
              <w:spacing w:after="0" w:line="240" w:lineRule="auto"/>
              <w:rPr>
                <w:rFonts w:eastAsia="Times New Roman" w:cs="Arial"/>
                <w:sz w:val="40"/>
                <w:szCs w:val="40"/>
                <w:lang w:val="en-US"/>
              </w:rPr>
            </w:pPr>
            <w:r w:rsidRPr="00FE26C8">
              <w:rPr>
                <w:rFonts w:eastAsia="Times New Roman" w:cs="Arial"/>
                <w:sz w:val="40"/>
                <w:szCs w:val="40"/>
                <w:lang w:val="en-US"/>
              </w:rPr>
              <w:t>Document name: Open Data</w:t>
            </w:r>
          </w:p>
        </w:tc>
      </w:tr>
      <w:tr w:rsidR="00FE26C8" w:rsidRPr="00FE26C8" w14:paraId="4F61F401" w14:textId="77777777" w:rsidTr="00584A7F">
        <w:tc>
          <w:tcPr>
            <w:tcW w:w="10420" w:type="dxa"/>
            <w:shd w:val="clear" w:color="auto" w:fill="auto"/>
          </w:tcPr>
          <w:p w14:paraId="44B42E53" w14:textId="77777777" w:rsidR="00FE26C8" w:rsidRPr="00FE26C8" w:rsidRDefault="00FE26C8" w:rsidP="00FE26C8">
            <w:pPr>
              <w:spacing w:after="0" w:line="240" w:lineRule="auto"/>
              <w:rPr>
                <w:rFonts w:eastAsia="Times New Roman" w:cs="Arial"/>
                <w:sz w:val="40"/>
                <w:szCs w:val="40"/>
                <w:lang w:val="en-US"/>
              </w:rPr>
            </w:pPr>
            <w:r w:rsidRPr="00FE26C8">
              <w:rPr>
                <w:rFonts w:eastAsia="Times New Roman" w:cs="Arial"/>
                <w:sz w:val="40"/>
                <w:szCs w:val="40"/>
                <w:lang w:val="en-US"/>
              </w:rPr>
              <w:t>Document overview: GiGL’s position on open data</w:t>
            </w:r>
          </w:p>
        </w:tc>
      </w:tr>
      <w:tr w:rsidR="00FE26C8" w:rsidRPr="00FE26C8" w14:paraId="0C44E2CD" w14:textId="77777777" w:rsidTr="00584A7F">
        <w:tc>
          <w:tcPr>
            <w:tcW w:w="10420" w:type="dxa"/>
            <w:shd w:val="clear" w:color="auto" w:fill="auto"/>
          </w:tcPr>
          <w:p w14:paraId="7BDA99A2" w14:textId="77777777" w:rsidR="00FE26C8" w:rsidRPr="00FE26C8" w:rsidRDefault="00FE26C8" w:rsidP="00FE26C8">
            <w:pPr>
              <w:spacing w:after="0" w:line="240" w:lineRule="auto"/>
              <w:rPr>
                <w:rFonts w:eastAsia="Times New Roman" w:cs="Arial"/>
                <w:sz w:val="40"/>
                <w:szCs w:val="40"/>
                <w:lang w:val="en-US"/>
              </w:rPr>
            </w:pPr>
            <w:r w:rsidRPr="00FE26C8">
              <w:rPr>
                <w:rFonts w:eastAsia="Times New Roman" w:cs="Arial"/>
                <w:sz w:val="40"/>
                <w:szCs w:val="40"/>
                <w:lang w:val="en-US"/>
              </w:rPr>
              <w:t>Related documents:</w:t>
            </w:r>
          </w:p>
        </w:tc>
      </w:tr>
    </w:tbl>
    <w:p w14:paraId="49BD8B31" w14:textId="77777777" w:rsidR="00FE26C8" w:rsidRPr="00FE26C8" w:rsidRDefault="00FE26C8" w:rsidP="00FE26C8">
      <w:pPr>
        <w:spacing w:line="240" w:lineRule="auto"/>
        <w:rPr>
          <w:rFonts w:eastAsia="Times New Roman" w:cs="Arial"/>
          <w:sz w:val="24"/>
          <w:szCs w:val="24"/>
          <w:lang w:val="en-US"/>
        </w:rPr>
      </w:pPr>
    </w:p>
    <w:p w14:paraId="0791C3E6" w14:textId="77777777" w:rsidR="00FE26C8" w:rsidRPr="00FE26C8" w:rsidRDefault="00FE26C8" w:rsidP="00FE26C8">
      <w:pPr>
        <w:spacing w:line="240" w:lineRule="auto"/>
        <w:rPr>
          <w:rFonts w:eastAsia="Times New Roman" w:cs="Arial"/>
          <w:sz w:val="24"/>
          <w:szCs w:val="24"/>
          <w:lang w:val="en-US"/>
        </w:rPr>
      </w:pPr>
    </w:p>
    <w:p w14:paraId="7E151402" w14:textId="77777777" w:rsidR="00FE26C8" w:rsidRPr="00FE26C8" w:rsidRDefault="00FE26C8" w:rsidP="00FE26C8">
      <w:pPr>
        <w:spacing w:line="240" w:lineRule="auto"/>
        <w:rPr>
          <w:rFonts w:eastAsia="Times New Roman" w:cs="Arial"/>
          <w:sz w:val="24"/>
          <w:szCs w:val="24"/>
          <w:lang w:val="en-US"/>
        </w:rPr>
      </w:pPr>
    </w:p>
    <w:p w14:paraId="09AD9F8B" w14:textId="77777777" w:rsidR="00FE26C8" w:rsidRPr="00FE26C8" w:rsidRDefault="00FE26C8" w:rsidP="00FE26C8">
      <w:pPr>
        <w:spacing w:line="240" w:lineRule="auto"/>
        <w:rPr>
          <w:rFonts w:eastAsia="Times New Roman" w:cs="Arial"/>
          <w:sz w:val="24"/>
          <w:szCs w:val="24"/>
          <w:lang w:val="en-US"/>
        </w:rPr>
      </w:pPr>
    </w:p>
    <w:p w14:paraId="64CE5310" w14:textId="77777777" w:rsidR="00FE26C8" w:rsidRPr="00FE26C8" w:rsidRDefault="00FE26C8" w:rsidP="00FE26C8">
      <w:pPr>
        <w:spacing w:line="240" w:lineRule="auto"/>
        <w:rPr>
          <w:rFonts w:eastAsia="Times New Roman" w:cs="Arial"/>
          <w:sz w:val="24"/>
          <w:szCs w:val="24"/>
          <w:lang w:val="en-US"/>
        </w:rPr>
      </w:pPr>
    </w:p>
    <w:p w14:paraId="5A557629" w14:textId="77777777" w:rsidR="00FE26C8" w:rsidRPr="00FE26C8" w:rsidRDefault="00FE26C8" w:rsidP="00FE26C8">
      <w:pPr>
        <w:spacing w:line="240" w:lineRule="auto"/>
        <w:rPr>
          <w:rFonts w:eastAsia="Times New Roman" w:cs="Arial"/>
          <w:sz w:val="24"/>
          <w:szCs w:val="24"/>
          <w:lang w:val="en-US"/>
        </w:rPr>
      </w:pPr>
    </w:p>
    <w:p w14:paraId="1BA2EB92" w14:textId="77777777" w:rsidR="00FE26C8" w:rsidRPr="00FE26C8" w:rsidRDefault="00FE26C8" w:rsidP="00FE26C8">
      <w:pPr>
        <w:spacing w:line="240" w:lineRule="auto"/>
        <w:rPr>
          <w:rFonts w:eastAsia="Times New Roman" w:cs="Arial"/>
          <w:sz w:val="24"/>
          <w:szCs w:val="24"/>
          <w:lang w:val="en-US"/>
        </w:rPr>
      </w:pPr>
    </w:p>
    <w:p w14:paraId="5434105C" w14:textId="77777777" w:rsidR="00FE26C8" w:rsidRPr="00FE26C8" w:rsidRDefault="00FE26C8" w:rsidP="00FE26C8">
      <w:pPr>
        <w:spacing w:line="240" w:lineRule="auto"/>
        <w:rPr>
          <w:rFonts w:eastAsia="Times New Roman" w:cs="Arial"/>
          <w:sz w:val="24"/>
          <w:szCs w:val="24"/>
          <w:lang w:val="en-US"/>
        </w:rPr>
      </w:pPr>
    </w:p>
    <w:p w14:paraId="6C648ED5" w14:textId="77777777" w:rsidR="00FE26C8" w:rsidRPr="00FE26C8" w:rsidRDefault="00FE26C8" w:rsidP="00FE26C8">
      <w:pPr>
        <w:spacing w:line="240" w:lineRule="auto"/>
        <w:rPr>
          <w:rFonts w:eastAsia="Times New Roman" w:cs="Arial"/>
          <w:sz w:val="24"/>
          <w:szCs w:val="24"/>
          <w:lang w:val="en-US"/>
        </w:rPr>
      </w:pPr>
    </w:p>
    <w:p w14:paraId="68C8736B" w14:textId="77777777" w:rsidR="00FE26C8" w:rsidRPr="00FE26C8" w:rsidRDefault="00FE26C8" w:rsidP="00FE26C8">
      <w:pPr>
        <w:spacing w:line="240" w:lineRule="auto"/>
        <w:rPr>
          <w:rFonts w:eastAsia="Times New Roman" w:cs="Arial"/>
          <w:sz w:val="24"/>
          <w:szCs w:val="24"/>
          <w:lang w:val="en-US"/>
        </w:rPr>
      </w:pPr>
    </w:p>
    <w:p w14:paraId="6D00BB64" w14:textId="77777777" w:rsidR="00FE26C8" w:rsidRPr="00FE26C8" w:rsidRDefault="00FE26C8" w:rsidP="00FE26C8">
      <w:pPr>
        <w:spacing w:line="240" w:lineRule="auto"/>
        <w:rPr>
          <w:rFonts w:eastAsia="Times New Roman" w:cs="Arial"/>
          <w:sz w:val="24"/>
          <w:szCs w:val="24"/>
          <w:lang w:val="en-US"/>
        </w:rPr>
      </w:pPr>
    </w:p>
    <w:p w14:paraId="5021DE44" w14:textId="77777777" w:rsidR="00FE26C8" w:rsidRPr="00FE26C8" w:rsidRDefault="00FE26C8" w:rsidP="00FE26C8">
      <w:pPr>
        <w:spacing w:line="240" w:lineRule="auto"/>
        <w:rPr>
          <w:rFonts w:eastAsia="Times New Roman"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074"/>
      </w:tblGrid>
      <w:tr w:rsidR="00FE26C8" w:rsidRPr="00FE26C8" w14:paraId="7CBA7525" w14:textId="77777777" w:rsidTr="00584A7F">
        <w:tc>
          <w:tcPr>
            <w:tcW w:w="1708" w:type="dxa"/>
            <w:shd w:val="clear" w:color="auto" w:fill="auto"/>
          </w:tcPr>
          <w:p w14:paraId="3E58C91E" w14:textId="77777777" w:rsidR="00FE26C8" w:rsidRPr="00FE26C8" w:rsidRDefault="00FE26C8" w:rsidP="00FE26C8">
            <w:pPr>
              <w:spacing w:after="0" w:line="240" w:lineRule="auto"/>
              <w:rPr>
                <w:rFonts w:eastAsia="Times New Roman" w:cs="Arial"/>
                <w:sz w:val="24"/>
                <w:szCs w:val="24"/>
                <w:lang w:val="en-US"/>
              </w:rPr>
            </w:pPr>
            <w:r w:rsidRPr="00FE26C8">
              <w:rPr>
                <w:rFonts w:eastAsia="Times New Roman" w:cs="Arial"/>
                <w:sz w:val="24"/>
                <w:szCs w:val="24"/>
                <w:lang w:val="en-US"/>
              </w:rPr>
              <w:t>Issue Date</w:t>
            </w:r>
          </w:p>
        </w:tc>
        <w:tc>
          <w:tcPr>
            <w:tcW w:w="5074" w:type="dxa"/>
            <w:shd w:val="clear" w:color="auto" w:fill="auto"/>
          </w:tcPr>
          <w:p w14:paraId="6F286BBF" w14:textId="77777777" w:rsidR="00FE26C8" w:rsidRPr="00FE26C8" w:rsidRDefault="00FE26C8" w:rsidP="00FE26C8">
            <w:pPr>
              <w:spacing w:after="0" w:line="240" w:lineRule="auto"/>
              <w:rPr>
                <w:rFonts w:eastAsia="Times New Roman" w:cs="Arial"/>
                <w:sz w:val="24"/>
                <w:szCs w:val="24"/>
                <w:lang w:val="en-US"/>
              </w:rPr>
            </w:pPr>
            <w:r w:rsidRPr="00FE26C8">
              <w:rPr>
                <w:rFonts w:eastAsia="Times New Roman" w:cs="Arial"/>
                <w:sz w:val="24"/>
                <w:szCs w:val="24"/>
                <w:lang w:val="en-US"/>
              </w:rPr>
              <w:t>18/08/2022</w:t>
            </w:r>
          </w:p>
        </w:tc>
      </w:tr>
      <w:tr w:rsidR="00FE26C8" w:rsidRPr="00FE26C8" w14:paraId="31E67CC3" w14:textId="77777777" w:rsidTr="00584A7F">
        <w:tc>
          <w:tcPr>
            <w:tcW w:w="1708" w:type="dxa"/>
            <w:shd w:val="clear" w:color="auto" w:fill="auto"/>
          </w:tcPr>
          <w:p w14:paraId="182D08E6" w14:textId="77777777" w:rsidR="00FE26C8" w:rsidRPr="00FE26C8" w:rsidRDefault="00FE26C8" w:rsidP="00FE26C8">
            <w:pPr>
              <w:spacing w:after="0" w:line="240" w:lineRule="auto"/>
              <w:rPr>
                <w:rFonts w:eastAsia="Times New Roman" w:cs="Arial"/>
                <w:sz w:val="24"/>
                <w:szCs w:val="24"/>
                <w:lang w:val="en-US"/>
              </w:rPr>
            </w:pPr>
            <w:r w:rsidRPr="00FE26C8">
              <w:rPr>
                <w:rFonts w:eastAsia="Times New Roman" w:cs="Arial"/>
                <w:sz w:val="24"/>
                <w:szCs w:val="24"/>
                <w:lang w:val="en-US"/>
              </w:rPr>
              <w:t>Review Date</w:t>
            </w:r>
          </w:p>
        </w:tc>
        <w:tc>
          <w:tcPr>
            <w:tcW w:w="5074" w:type="dxa"/>
            <w:shd w:val="clear" w:color="auto" w:fill="auto"/>
          </w:tcPr>
          <w:p w14:paraId="12BB2E28" w14:textId="77777777" w:rsidR="00FE26C8" w:rsidRPr="00FE26C8" w:rsidRDefault="00FE26C8" w:rsidP="00FE26C8">
            <w:pPr>
              <w:spacing w:after="0" w:line="240" w:lineRule="auto"/>
              <w:rPr>
                <w:rFonts w:eastAsia="Times New Roman" w:cs="Arial"/>
                <w:sz w:val="24"/>
                <w:szCs w:val="24"/>
                <w:lang w:val="en-US"/>
              </w:rPr>
            </w:pPr>
            <w:r w:rsidRPr="00FE26C8">
              <w:rPr>
                <w:rFonts w:eastAsia="Times New Roman" w:cs="Arial"/>
                <w:sz w:val="24"/>
                <w:szCs w:val="24"/>
                <w:lang w:val="en-US"/>
              </w:rPr>
              <w:t>As and when needed</w:t>
            </w:r>
          </w:p>
        </w:tc>
      </w:tr>
      <w:tr w:rsidR="00FE26C8" w:rsidRPr="00FE26C8" w14:paraId="34279BF5" w14:textId="77777777" w:rsidTr="00584A7F">
        <w:tc>
          <w:tcPr>
            <w:tcW w:w="1708" w:type="dxa"/>
            <w:shd w:val="clear" w:color="auto" w:fill="auto"/>
          </w:tcPr>
          <w:p w14:paraId="724D2293" w14:textId="77777777" w:rsidR="00FE26C8" w:rsidRPr="00FE26C8" w:rsidRDefault="00FE26C8" w:rsidP="00FE26C8">
            <w:pPr>
              <w:spacing w:after="0" w:line="240" w:lineRule="auto"/>
              <w:rPr>
                <w:rFonts w:eastAsia="Times New Roman" w:cs="Arial"/>
                <w:sz w:val="24"/>
                <w:szCs w:val="24"/>
                <w:lang w:val="en-US"/>
              </w:rPr>
            </w:pPr>
            <w:r w:rsidRPr="00FE26C8">
              <w:rPr>
                <w:rFonts w:eastAsia="Times New Roman" w:cs="Arial"/>
                <w:sz w:val="24"/>
                <w:szCs w:val="24"/>
                <w:lang w:val="en-US"/>
              </w:rPr>
              <w:t>Issue Number</w:t>
            </w:r>
          </w:p>
        </w:tc>
        <w:tc>
          <w:tcPr>
            <w:tcW w:w="5074" w:type="dxa"/>
            <w:shd w:val="clear" w:color="auto" w:fill="auto"/>
          </w:tcPr>
          <w:p w14:paraId="14344429" w14:textId="77777777" w:rsidR="00FE26C8" w:rsidRPr="00FE26C8" w:rsidRDefault="00FE26C8" w:rsidP="00FE26C8">
            <w:pPr>
              <w:spacing w:after="0" w:line="240" w:lineRule="auto"/>
              <w:rPr>
                <w:rFonts w:eastAsia="Times New Roman" w:cs="Arial"/>
                <w:sz w:val="24"/>
                <w:szCs w:val="24"/>
                <w:lang w:val="en-US"/>
              </w:rPr>
            </w:pPr>
            <w:r w:rsidRPr="00FE26C8">
              <w:rPr>
                <w:rFonts w:eastAsia="Times New Roman" w:cs="Arial"/>
                <w:sz w:val="24"/>
                <w:szCs w:val="24"/>
                <w:lang w:val="en-US"/>
              </w:rPr>
              <w:t>1</w:t>
            </w:r>
          </w:p>
        </w:tc>
      </w:tr>
      <w:tr w:rsidR="00FE26C8" w:rsidRPr="00FE26C8" w14:paraId="14EB5BB5" w14:textId="77777777" w:rsidTr="00584A7F">
        <w:tc>
          <w:tcPr>
            <w:tcW w:w="1708" w:type="dxa"/>
            <w:shd w:val="clear" w:color="auto" w:fill="auto"/>
          </w:tcPr>
          <w:p w14:paraId="6E96CF48" w14:textId="77777777" w:rsidR="00FE26C8" w:rsidRPr="00FE26C8" w:rsidRDefault="00FE26C8" w:rsidP="00FE26C8">
            <w:pPr>
              <w:spacing w:after="0" w:line="240" w:lineRule="auto"/>
              <w:rPr>
                <w:rFonts w:eastAsia="Times New Roman" w:cs="Arial"/>
                <w:sz w:val="24"/>
                <w:szCs w:val="24"/>
                <w:lang w:val="en-US"/>
              </w:rPr>
            </w:pPr>
            <w:r w:rsidRPr="00FE26C8">
              <w:rPr>
                <w:rFonts w:eastAsia="Times New Roman" w:cs="Arial"/>
                <w:sz w:val="24"/>
                <w:szCs w:val="24"/>
                <w:lang w:val="en-US"/>
              </w:rPr>
              <w:t>Author</w:t>
            </w:r>
          </w:p>
        </w:tc>
        <w:tc>
          <w:tcPr>
            <w:tcW w:w="5074" w:type="dxa"/>
            <w:shd w:val="clear" w:color="auto" w:fill="auto"/>
          </w:tcPr>
          <w:p w14:paraId="2A9AEFB9" w14:textId="77777777" w:rsidR="00FE26C8" w:rsidRPr="00FE26C8" w:rsidRDefault="00FE26C8" w:rsidP="00FE26C8">
            <w:pPr>
              <w:spacing w:after="0" w:line="240" w:lineRule="auto"/>
              <w:rPr>
                <w:rFonts w:eastAsia="Times New Roman" w:cs="Arial"/>
                <w:sz w:val="24"/>
                <w:szCs w:val="24"/>
                <w:lang w:val="en-US"/>
              </w:rPr>
            </w:pPr>
            <w:r w:rsidRPr="00FE26C8">
              <w:rPr>
                <w:rFonts w:eastAsia="Times New Roman" w:cs="Arial"/>
                <w:sz w:val="24"/>
                <w:szCs w:val="24"/>
                <w:lang w:val="en-US"/>
              </w:rPr>
              <w:t>Mandy Rudd</w:t>
            </w:r>
          </w:p>
        </w:tc>
      </w:tr>
    </w:tbl>
    <w:p w14:paraId="2429FDE1" w14:textId="77777777" w:rsidR="00FE26C8" w:rsidRPr="00FE26C8" w:rsidRDefault="00FE26C8" w:rsidP="00486686">
      <w:pPr>
        <w:pStyle w:val="Heading1"/>
      </w:pPr>
      <w:r w:rsidRPr="00FE26C8">
        <w:br w:type="page"/>
      </w:r>
      <w:r w:rsidRPr="00FE26C8">
        <w:lastRenderedPageBreak/>
        <w:t>Policy Statement</w:t>
      </w:r>
    </w:p>
    <w:p w14:paraId="0B405DDB" w14:textId="77777777" w:rsidR="00FE26C8" w:rsidRPr="00FE26C8" w:rsidRDefault="00FE26C8" w:rsidP="00FE26C8">
      <w:pPr>
        <w:spacing w:after="0" w:line="240" w:lineRule="auto"/>
        <w:jc w:val="both"/>
        <w:rPr>
          <w:rFonts w:eastAsia="Times New Roman" w:cs="Arial"/>
          <w:color w:val="25282A"/>
          <w:szCs w:val="24"/>
          <w:lang w:val="en-US"/>
        </w:rPr>
      </w:pPr>
      <w:r w:rsidRPr="00FE26C8">
        <w:rPr>
          <w:rFonts w:eastAsia="Times New Roman" w:cs="Arial"/>
          <w:color w:val="25282A"/>
          <w:szCs w:val="24"/>
          <w:lang w:val="en-US"/>
        </w:rPr>
        <w:t>We publish discovery datasets using open data licences that both improve consumers’ understanding of London’s natural environment and raise the profile of our services. The open datasets are blurred spatially, restricted temporally, or are less detailed than the high quality shared datasets that underpin our services. We do not publish open data without express permission from the data owners, and notify all partners of open data publication as part of our ongoing services.</w:t>
      </w:r>
    </w:p>
    <w:p w14:paraId="3F5D59B9" w14:textId="77777777" w:rsidR="00FE26C8" w:rsidRPr="00FE26C8" w:rsidRDefault="00FE26C8" w:rsidP="00FE26C8">
      <w:pPr>
        <w:spacing w:after="0" w:line="240" w:lineRule="auto"/>
        <w:jc w:val="both"/>
        <w:rPr>
          <w:rFonts w:eastAsia="Times New Roman" w:cs="Arial"/>
          <w:color w:val="25282A"/>
          <w:szCs w:val="24"/>
          <w:lang w:val="en-US"/>
        </w:rPr>
      </w:pPr>
    </w:p>
    <w:p w14:paraId="1152FDE3" w14:textId="6329C728" w:rsidR="00FE26C8" w:rsidRPr="00FE26C8" w:rsidRDefault="00FE26C8" w:rsidP="00486686">
      <w:pPr>
        <w:pStyle w:val="Heading1"/>
      </w:pPr>
      <w:r w:rsidRPr="00486686">
        <w:t>Definitions</w:t>
      </w:r>
    </w:p>
    <w:p w14:paraId="37E2A97C" w14:textId="77777777" w:rsidR="00FE26C8" w:rsidRPr="00FE26C8" w:rsidRDefault="00FE26C8" w:rsidP="00FE26C8">
      <w:pPr>
        <w:numPr>
          <w:ilvl w:val="0"/>
          <w:numId w:val="4"/>
        </w:numPr>
        <w:spacing w:after="0" w:line="240" w:lineRule="auto"/>
        <w:contextualSpacing/>
        <w:jc w:val="both"/>
        <w:rPr>
          <w:rFonts w:eastAsia="Times New Roman" w:cs="Arial"/>
          <w:color w:val="25282A"/>
          <w:szCs w:val="24"/>
          <w:lang w:val="en-US"/>
        </w:rPr>
      </w:pPr>
      <w:r w:rsidRPr="00FE26C8">
        <w:rPr>
          <w:rFonts w:eastAsia="Times New Roman" w:cs="Arial"/>
          <w:color w:val="25282A"/>
          <w:szCs w:val="24"/>
          <w:lang w:val="en-US"/>
        </w:rPr>
        <w:t xml:space="preserve">Open data - the Open Data Institute (ODI) define open data as “data that anyone can access, use or share”. </w:t>
      </w:r>
    </w:p>
    <w:p w14:paraId="0D8CC07C" w14:textId="77777777" w:rsidR="00FE26C8" w:rsidRPr="00FE26C8" w:rsidRDefault="00FE26C8" w:rsidP="00FE26C8">
      <w:pPr>
        <w:numPr>
          <w:ilvl w:val="0"/>
          <w:numId w:val="4"/>
        </w:numPr>
        <w:spacing w:after="0" w:line="240" w:lineRule="auto"/>
        <w:contextualSpacing/>
        <w:jc w:val="both"/>
        <w:rPr>
          <w:rFonts w:eastAsia="Times New Roman" w:cs="Arial"/>
          <w:color w:val="25282A"/>
          <w:szCs w:val="24"/>
          <w:lang w:val="en-US"/>
        </w:rPr>
      </w:pPr>
      <w:r w:rsidRPr="00FE26C8">
        <w:rPr>
          <w:rFonts w:eastAsia="Times New Roman" w:cs="Arial"/>
          <w:color w:val="25282A"/>
          <w:szCs w:val="24"/>
          <w:lang w:val="en-US"/>
        </w:rPr>
        <w:t>Shared data – the ODI data spectrum sets out 3 mechanisms for sharing data:</w:t>
      </w:r>
    </w:p>
    <w:p w14:paraId="6BC0FEA1" w14:textId="77777777" w:rsidR="00FE26C8" w:rsidRPr="00FE26C8" w:rsidRDefault="00FE26C8" w:rsidP="00FE26C8">
      <w:pPr>
        <w:numPr>
          <w:ilvl w:val="1"/>
          <w:numId w:val="4"/>
        </w:numPr>
        <w:spacing w:after="0" w:line="240" w:lineRule="auto"/>
        <w:contextualSpacing/>
        <w:jc w:val="both"/>
        <w:rPr>
          <w:rFonts w:eastAsia="Times New Roman" w:cs="Arial"/>
          <w:color w:val="25282A"/>
          <w:szCs w:val="24"/>
          <w:lang w:val="en-US"/>
        </w:rPr>
      </w:pPr>
      <w:r w:rsidRPr="00FE26C8">
        <w:rPr>
          <w:rFonts w:eastAsia="Times New Roman" w:cs="Arial"/>
          <w:color w:val="25282A"/>
          <w:szCs w:val="24"/>
          <w:lang w:val="en-US"/>
        </w:rPr>
        <w:t>named access - explicitly assigned by contract</w:t>
      </w:r>
    </w:p>
    <w:p w14:paraId="65F55F6C" w14:textId="77777777" w:rsidR="00FE26C8" w:rsidRPr="00FE26C8" w:rsidRDefault="00FE26C8" w:rsidP="00FE26C8">
      <w:pPr>
        <w:numPr>
          <w:ilvl w:val="1"/>
          <w:numId w:val="4"/>
        </w:numPr>
        <w:spacing w:after="0" w:line="240" w:lineRule="auto"/>
        <w:contextualSpacing/>
        <w:jc w:val="both"/>
        <w:rPr>
          <w:rFonts w:eastAsia="Times New Roman" w:cs="Arial"/>
          <w:color w:val="25282A"/>
          <w:szCs w:val="24"/>
          <w:lang w:val="en-US"/>
        </w:rPr>
      </w:pPr>
      <w:r w:rsidRPr="00FE26C8">
        <w:rPr>
          <w:rFonts w:eastAsia="Times New Roman" w:cs="Arial"/>
          <w:color w:val="25282A"/>
          <w:szCs w:val="24"/>
          <w:lang w:val="en-US"/>
        </w:rPr>
        <w:t>group-based access - enabled via authentication</w:t>
      </w:r>
    </w:p>
    <w:p w14:paraId="115A92AC" w14:textId="77777777" w:rsidR="00FE26C8" w:rsidRPr="00FE26C8" w:rsidRDefault="00FE26C8" w:rsidP="00FE26C8">
      <w:pPr>
        <w:numPr>
          <w:ilvl w:val="1"/>
          <w:numId w:val="4"/>
        </w:numPr>
        <w:spacing w:after="0" w:line="240" w:lineRule="auto"/>
        <w:contextualSpacing/>
        <w:jc w:val="both"/>
        <w:rPr>
          <w:rFonts w:eastAsia="Times New Roman" w:cs="Arial"/>
          <w:color w:val="25282A"/>
          <w:szCs w:val="24"/>
          <w:lang w:val="en-US"/>
        </w:rPr>
      </w:pPr>
      <w:r w:rsidRPr="00FE26C8">
        <w:rPr>
          <w:rFonts w:eastAsia="Times New Roman" w:cs="Arial"/>
          <w:color w:val="25282A"/>
          <w:szCs w:val="24"/>
          <w:lang w:val="en-US"/>
        </w:rPr>
        <w:t>public access - published under a licence such as CC-BY-NC (Creative Commons Attribution Non-Commercial) that only allows consumption for non-commercial use.</w:t>
      </w:r>
    </w:p>
    <w:p w14:paraId="5AB97B31" w14:textId="77777777" w:rsidR="00FE26C8" w:rsidRPr="00FE26C8" w:rsidRDefault="00FE26C8" w:rsidP="00FE26C8">
      <w:pPr>
        <w:numPr>
          <w:ilvl w:val="0"/>
          <w:numId w:val="4"/>
        </w:numPr>
        <w:spacing w:after="0" w:line="240" w:lineRule="auto"/>
        <w:contextualSpacing/>
        <w:jc w:val="both"/>
        <w:rPr>
          <w:rFonts w:eastAsia="Times New Roman" w:cs="Arial"/>
          <w:color w:val="25282A"/>
          <w:szCs w:val="24"/>
          <w:lang w:val="en-US"/>
        </w:rPr>
      </w:pPr>
      <w:r w:rsidRPr="00FE26C8">
        <w:rPr>
          <w:rFonts w:eastAsia="Times New Roman" w:cs="Arial"/>
          <w:color w:val="25282A"/>
          <w:szCs w:val="24"/>
          <w:lang w:val="en-US"/>
        </w:rPr>
        <w:t>Open data licences – these place very few restrictions on consumers of open data, who are permitted to republish the data, including for a fee, and sell products based on them. The licences we use, commonly known by their acronym, are the OGL (open government licence) and CC-BY (Creative Commons Attribution licence). The only restriction placed on consumers by these licences is that they must give attribution to GiGL as the source of the data.</w:t>
      </w:r>
    </w:p>
    <w:p w14:paraId="18B7F52C" w14:textId="77777777" w:rsidR="00FE26C8" w:rsidRPr="00FE26C8" w:rsidRDefault="00FE26C8" w:rsidP="00FE26C8">
      <w:pPr>
        <w:numPr>
          <w:ilvl w:val="0"/>
          <w:numId w:val="4"/>
        </w:numPr>
        <w:spacing w:after="0" w:line="240" w:lineRule="auto"/>
        <w:contextualSpacing/>
        <w:jc w:val="both"/>
        <w:rPr>
          <w:rFonts w:eastAsia="Times New Roman" w:cs="Arial"/>
          <w:color w:val="25282A"/>
          <w:szCs w:val="24"/>
          <w:lang w:val="en-US"/>
        </w:rPr>
      </w:pPr>
      <w:r w:rsidRPr="00FE26C8">
        <w:rPr>
          <w:rFonts w:eastAsia="Times New Roman" w:cs="Arial"/>
          <w:color w:val="25282A"/>
          <w:szCs w:val="24"/>
          <w:lang w:val="en-US"/>
        </w:rPr>
        <w:t xml:space="preserve">Discovery dataset - </w:t>
      </w:r>
      <w:r w:rsidRPr="00FE26C8">
        <w:rPr>
          <w:rFonts w:eastAsia="Times New Roman" w:cs="Arial"/>
          <w:color w:val="25282A"/>
          <w:lang w:val="en-US"/>
        </w:rPr>
        <w:t>a</w:t>
      </w:r>
      <w:r w:rsidRPr="00FE26C8">
        <w:rPr>
          <w:rFonts w:eastAsia="Times New Roman" w:cs="Arial"/>
        </w:rPr>
        <w:t xml:space="preserve"> subset of a larger, more detailed dataset intended to raise awareness of the data subject and signpost open data consumers to related GiGL services</w:t>
      </w:r>
    </w:p>
    <w:p w14:paraId="644561D0" w14:textId="77777777" w:rsidR="00FE26C8" w:rsidRPr="00FE26C8" w:rsidRDefault="00FE26C8" w:rsidP="00FE26C8">
      <w:pPr>
        <w:spacing w:after="0" w:line="240" w:lineRule="auto"/>
        <w:jc w:val="both"/>
        <w:rPr>
          <w:rFonts w:eastAsia="Times New Roman" w:cs="Arial"/>
          <w:color w:val="25282A"/>
          <w:szCs w:val="24"/>
          <w:lang w:val="en-US"/>
        </w:rPr>
      </w:pPr>
    </w:p>
    <w:p w14:paraId="581E965C" w14:textId="6AEE83A6" w:rsidR="00FE26C8" w:rsidRPr="00FE26C8" w:rsidRDefault="00FE26C8" w:rsidP="00486686">
      <w:pPr>
        <w:pStyle w:val="Heading1"/>
      </w:pPr>
      <w:r w:rsidRPr="00FE26C8">
        <w:t>GiGL Partnership Datasets</w:t>
      </w:r>
    </w:p>
    <w:p w14:paraId="287B33B2" w14:textId="77777777" w:rsidR="00FE26C8" w:rsidRPr="00FE26C8" w:rsidRDefault="00FE26C8" w:rsidP="00FE26C8">
      <w:pPr>
        <w:spacing w:after="0" w:line="240" w:lineRule="auto"/>
        <w:jc w:val="both"/>
        <w:rPr>
          <w:rFonts w:eastAsia="Times New Roman" w:cs="Arial"/>
          <w:color w:val="25282A"/>
          <w:szCs w:val="24"/>
          <w:lang w:val="en-US"/>
        </w:rPr>
      </w:pPr>
      <w:r w:rsidRPr="00FE26C8">
        <w:rPr>
          <w:rFonts w:eastAsia="Times New Roman" w:cs="Arial"/>
          <w:color w:val="25282A"/>
          <w:szCs w:val="24"/>
          <w:lang w:val="en-US"/>
        </w:rPr>
        <w:t xml:space="preserve">There is an overview of the current open datasets that we have published on our website, and more comprehensive information about each of the datasets is contained in the GiGL data guide. It includes information regarding how each open dataset relates to the shared dataset it was derived from, and details of the data update schedule. </w:t>
      </w:r>
    </w:p>
    <w:p w14:paraId="197AF933" w14:textId="77777777" w:rsidR="00FE26C8" w:rsidRPr="00FE26C8" w:rsidRDefault="00FE26C8" w:rsidP="00FE26C8">
      <w:pPr>
        <w:spacing w:after="0" w:line="240" w:lineRule="auto"/>
        <w:jc w:val="both"/>
        <w:rPr>
          <w:rFonts w:eastAsia="Times New Roman" w:cs="Arial"/>
          <w:color w:val="25282A"/>
          <w:szCs w:val="24"/>
          <w:lang w:val="en-US"/>
        </w:rPr>
      </w:pPr>
    </w:p>
    <w:p w14:paraId="1DB6E296" w14:textId="77777777" w:rsidR="00FE26C8" w:rsidRPr="00FE26C8" w:rsidRDefault="00FE26C8" w:rsidP="00FE26C8">
      <w:pPr>
        <w:spacing w:after="0" w:line="240" w:lineRule="auto"/>
        <w:jc w:val="both"/>
        <w:rPr>
          <w:rFonts w:eastAsia="Times New Roman" w:cs="Arial"/>
          <w:color w:val="25282A"/>
          <w:szCs w:val="24"/>
          <w:lang w:val="en-US"/>
        </w:rPr>
      </w:pPr>
      <w:r w:rsidRPr="00FE26C8">
        <w:rPr>
          <w:rFonts w:eastAsia="Times New Roman" w:cs="Arial"/>
          <w:color w:val="25282A"/>
          <w:szCs w:val="24"/>
          <w:lang w:val="en-US"/>
        </w:rPr>
        <w:t>We will continue to explore the benefits of publishing discovery datasets representing metadata and our core datasets with the data owners and our advisors.</w:t>
      </w:r>
    </w:p>
    <w:p w14:paraId="0C1F4BCB" w14:textId="77777777" w:rsidR="00FE26C8" w:rsidRPr="00FE26C8" w:rsidRDefault="00FE26C8" w:rsidP="00FE26C8">
      <w:pPr>
        <w:spacing w:after="0" w:line="240" w:lineRule="auto"/>
        <w:jc w:val="both"/>
        <w:rPr>
          <w:rFonts w:eastAsia="Times New Roman" w:cs="Arial"/>
          <w:color w:val="25282A"/>
          <w:szCs w:val="24"/>
          <w:lang w:val="en-US"/>
        </w:rPr>
      </w:pPr>
    </w:p>
    <w:p w14:paraId="74953F03" w14:textId="5231CBA0" w:rsidR="00FE26C8" w:rsidRPr="00FE26C8" w:rsidRDefault="00FE26C8" w:rsidP="00486686">
      <w:pPr>
        <w:pStyle w:val="Heading1"/>
      </w:pPr>
      <w:r w:rsidRPr="00FE26C8">
        <w:t>Data platforms</w:t>
      </w:r>
    </w:p>
    <w:p w14:paraId="1C9F5DCA" w14:textId="77777777" w:rsidR="00FE26C8" w:rsidRPr="00FE26C8" w:rsidRDefault="00FE26C8" w:rsidP="00FE26C8">
      <w:pPr>
        <w:spacing w:after="0" w:line="240" w:lineRule="auto"/>
        <w:jc w:val="both"/>
        <w:rPr>
          <w:rFonts w:eastAsia="Times New Roman" w:cs="Arial"/>
          <w:color w:val="25282A"/>
          <w:szCs w:val="24"/>
          <w:lang w:val="en-US"/>
        </w:rPr>
      </w:pPr>
      <w:r w:rsidRPr="00FE26C8">
        <w:rPr>
          <w:rFonts w:eastAsia="Times New Roman" w:cs="Arial"/>
          <w:color w:val="25282A"/>
          <w:szCs w:val="24"/>
          <w:lang w:val="en-US"/>
        </w:rPr>
        <w:t>We will publish data via local and national open data platforms, and will provide links to these resources via our website and data guide</w:t>
      </w:r>
    </w:p>
    <w:p w14:paraId="28DDC010" w14:textId="77777777" w:rsidR="00FE26C8" w:rsidRPr="00FE26C8" w:rsidRDefault="00FE26C8" w:rsidP="00FE26C8">
      <w:pPr>
        <w:spacing w:after="0" w:line="240" w:lineRule="auto"/>
        <w:jc w:val="both"/>
        <w:rPr>
          <w:rFonts w:eastAsia="Times New Roman" w:cs="Arial"/>
          <w:color w:val="25282A"/>
          <w:szCs w:val="24"/>
          <w:lang w:val="en-US"/>
        </w:rPr>
      </w:pPr>
    </w:p>
    <w:p w14:paraId="3C9B413C" w14:textId="47588378" w:rsidR="00FE26C8" w:rsidRPr="00FE26C8" w:rsidRDefault="00FE26C8" w:rsidP="00486686">
      <w:pPr>
        <w:pStyle w:val="Heading1"/>
      </w:pPr>
      <w:r w:rsidRPr="00FE26C8">
        <w:t>Utilising open and shared data</w:t>
      </w:r>
    </w:p>
    <w:p w14:paraId="2B226008" w14:textId="77777777" w:rsidR="00FE26C8" w:rsidRPr="00FE26C8" w:rsidRDefault="00FE26C8" w:rsidP="00FE26C8">
      <w:pPr>
        <w:spacing w:after="0" w:line="240" w:lineRule="auto"/>
        <w:jc w:val="both"/>
        <w:rPr>
          <w:rFonts w:eastAsia="Times New Roman" w:cs="Arial"/>
          <w:color w:val="25282A"/>
          <w:szCs w:val="24"/>
          <w:lang w:val="en-US"/>
        </w:rPr>
      </w:pPr>
      <w:r w:rsidRPr="00FE26C8">
        <w:rPr>
          <w:rFonts w:eastAsia="Times New Roman" w:cs="Arial"/>
          <w:color w:val="25282A"/>
          <w:szCs w:val="24"/>
          <w:lang w:val="en-US"/>
        </w:rPr>
        <w:t xml:space="preserve">Although we are a not-for-profit social enterprise we are considered a commercial user of data, so we are not permitted to consume shared data published under a CC-BY-NC licence. We will approach data owners whose data would be useful to our stakeholders to seek permission to use them in our services via a different licence or data exchange agreement. </w:t>
      </w:r>
    </w:p>
    <w:p w14:paraId="60CAE673" w14:textId="77777777" w:rsidR="00FE26C8" w:rsidRPr="00FE26C8" w:rsidRDefault="00FE26C8" w:rsidP="00FE26C8">
      <w:pPr>
        <w:spacing w:after="0" w:line="240" w:lineRule="auto"/>
        <w:jc w:val="both"/>
        <w:rPr>
          <w:rFonts w:eastAsia="Times New Roman" w:cs="Arial"/>
          <w:color w:val="25282A"/>
          <w:szCs w:val="24"/>
          <w:lang w:val="en-US"/>
        </w:rPr>
      </w:pPr>
    </w:p>
    <w:p w14:paraId="62F7B7EC" w14:textId="77777777" w:rsidR="00FE26C8" w:rsidRPr="00FE26C8" w:rsidRDefault="00FE26C8" w:rsidP="00FE26C8">
      <w:pPr>
        <w:spacing w:after="0" w:line="240" w:lineRule="auto"/>
        <w:jc w:val="both"/>
        <w:rPr>
          <w:rFonts w:eastAsia="Times New Roman" w:cs="Arial"/>
          <w:color w:val="25282A"/>
          <w:szCs w:val="24"/>
          <w:lang w:val="en-US"/>
        </w:rPr>
      </w:pPr>
      <w:r w:rsidRPr="00FE26C8">
        <w:rPr>
          <w:rFonts w:eastAsia="Times New Roman" w:cs="Arial"/>
          <w:color w:val="25282A"/>
          <w:szCs w:val="24"/>
          <w:lang w:val="en-US"/>
        </w:rPr>
        <w:t>We will ensure that we incorporate high quality open data published under the OGL and CC-BY licences into our services on behalf of our stakeholders. The suitability of datasets will be assessed on an ongoing basis based on the national standards that we work to.</w:t>
      </w:r>
    </w:p>
    <w:p w14:paraId="5457B306" w14:textId="77777777" w:rsidR="00FE26C8" w:rsidRPr="00FE26C8" w:rsidRDefault="00FE26C8" w:rsidP="00FE26C8">
      <w:pPr>
        <w:spacing w:after="0" w:line="240" w:lineRule="auto"/>
        <w:jc w:val="both"/>
        <w:rPr>
          <w:rFonts w:eastAsia="Times New Roman" w:cs="Arial"/>
          <w:b/>
          <w:color w:val="25282A"/>
          <w:szCs w:val="24"/>
          <w:lang w:val="en-US"/>
        </w:rPr>
      </w:pPr>
    </w:p>
    <w:p w14:paraId="437BC24C" w14:textId="2BDE3CFF" w:rsidR="00FE26C8" w:rsidRPr="00FE26C8" w:rsidRDefault="00FE26C8" w:rsidP="00486686">
      <w:pPr>
        <w:pStyle w:val="Heading1"/>
      </w:pPr>
      <w:r w:rsidRPr="00FE26C8">
        <w:t xml:space="preserve">Our </w:t>
      </w:r>
      <w:r w:rsidR="00486686">
        <w:t>community</w:t>
      </w:r>
      <w:r w:rsidRPr="00FE26C8">
        <w:t xml:space="preserve"> and professional networks</w:t>
      </w:r>
    </w:p>
    <w:p w14:paraId="7DD9C4A2" w14:textId="77777777" w:rsidR="00FE26C8" w:rsidRPr="00FE26C8" w:rsidRDefault="00FE26C8" w:rsidP="00FE26C8">
      <w:pPr>
        <w:spacing w:after="0" w:line="240" w:lineRule="auto"/>
        <w:jc w:val="both"/>
        <w:rPr>
          <w:rFonts w:eastAsia="Times New Roman" w:cs="Arial"/>
          <w:color w:val="25282A"/>
          <w:szCs w:val="24"/>
          <w:lang w:val="en-US"/>
        </w:rPr>
      </w:pPr>
    </w:p>
    <w:p w14:paraId="265971B1" w14:textId="77777777" w:rsidR="00FE26C8" w:rsidRPr="00FE26C8" w:rsidRDefault="00FE26C8" w:rsidP="00FE26C8">
      <w:pPr>
        <w:spacing w:after="0" w:line="240" w:lineRule="auto"/>
        <w:jc w:val="both"/>
        <w:rPr>
          <w:rFonts w:eastAsia="Times New Roman" w:cs="Arial"/>
          <w:color w:val="25282A"/>
          <w:szCs w:val="24"/>
          <w:lang w:val="en-US"/>
        </w:rPr>
      </w:pPr>
      <w:r w:rsidRPr="00FE26C8">
        <w:rPr>
          <w:rFonts w:eastAsia="Times New Roman" w:cs="Arial"/>
          <w:color w:val="25282A"/>
          <w:szCs w:val="24"/>
          <w:lang w:val="en-US"/>
        </w:rPr>
        <w:lastRenderedPageBreak/>
        <w:t>We will meet annually with key data providers to update them on open data-related activity in our sector, to ensure we are representing their interests, and to feedback on key performance indicators around the provision and consumption of open data.</w:t>
      </w:r>
    </w:p>
    <w:p w14:paraId="506B4A13" w14:textId="77777777" w:rsidR="00FE26C8" w:rsidRPr="00FE26C8" w:rsidRDefault="00FE26C8" w:rsidP="00FE26C8">
      <w:pPr>
        <w:spacing w:after="0" w:line="240" w:lineRule="auto"/>
        <w:jc w:val="both"/>
        <w:rPr>
          <w:rFonts w:eastAsia="Times New Roman" w:cs="Arial"/>
          <w:color w:val="25282A"/>
          <w:szCs w:val="24"/>
          <w:lang w:val="en-US"/>
        </w:rPr>
      </w:pPr>
    </w:p>
    <w:p w14:paraId="3F058C46" w14:textId="77777777" w:rsidR="00FE26C8" w:rsidRPr="00FE26C8" w:rsidRDefault="00FE26C8" w:rsidP="00FE26C8">
      <w:pPr>
        <w:spacing w:after="0" w:line="240" w:lineRule="auto"/>
        <w:jc w:val="both"/>
        <w:rPr>
          <w:rFonts w:eastAsia="Times New Roman" w:cs="Arial"/>
          <w:color w:val="25282A"/>
          <w:szCs w:val="24"/>
          <w:lang w:val="en-US"/>
        </w:rPr>
      </w:pPr>
      <w:r w:rsidRPr="00FE26C8">
        <w:rPr>
          <w:rFonts w:eastAsia="Times New Roman" w:cs="Arial"/>
          <w:color w:val="25282A"/>
          <w:szCs w:val="24"/>
          <w:lang w:val="en-US"/>
        </w:rPr>
        <w:t xml:space="preserve">We will work with the Association of Local Environmental Records Centres (ALERC) and National Biodiversity Network Trust (NBNT) to embrace the opportunities open data presents to local environmental records centres, and to ensure consumers of open data are aware of the costs associated with their production. </w:t>
      </w:r>
    </w:p>
    <w:p w14:paraId="52E33D4F" w14:textId="77777777" w:rsidR="00FE26C8" w:rsidRPr="00FE26C8" w:rsidRDefault="00FE26C8" w:rsidP="00FE26C8">
      <w:pPr>
        <w:spacing w:after="0" w:line="240" w:lineRule="auto"/>
        <w:jc w:val="both"/>
        <w:rPr>
          <w:rFonts w:eastAsia="Times New Roman" w:cs="Arial"/>
          <w:color w:val="25282A"/>
          <w:szCs w:val="24"/>
          <w:lang w:val="en-US"/>
        </w:rPr>
      </w:pPr>
    </w:p>
    <w:p w14:paraId="72B3DE68" w14:textId="681D2EBB" w:rsidR="00FE26C8" w:rsidRPr="00FE26C8" w:rsidRDefault="00FE26C8" w:rsidP="00FE26C8">
      <w:pPr>
        <w:spacing w:after="0" w:line="240" w:lineRule="auto"/>
        <w:jc w:val="both"/>
        <w:rPr>
          <w:rFonts w:eastAsia="Times New Roman" w:cs="Arial"/>
          <w:color w:val="25282A"/>
          <w:szCs w:val="24"/>
          <w:lang w:val="en-US"/>
        </w:rPr>
      </w:pPr>
      <w:r w:rsidRPr="00FE26C8">
        <w:rPr>
          <w:rFonts w:eastAsia="Times New Roman" w:cs="Arial"/>
          <w:color w:val="25282A"/>
          <w:szCs w:val="24"/>
          <w:lang w:val="en-US"/>
        </w:rPr>
        <w:t xml:space="preserve">We will continue to charge for our services per our charging policy to ensure the full costs of </w:t>
      </w:r>
      <w:r w:rsidR="00486686">
        <w:rPr>
          <w:rFonts w:eastAsia="Times New Roman" w:cs="Arial"/>
          <w:color w:val="25282A"/>
          <w:szCs w:val="24"/>
          <w:lang w:val="en-US"/>
        </w:rPr>
        <w:t>data stewardship</w:t>
      </w:r>
      <w:r w:rsidRPr="00FE26C8">
        <w:rPr>
          <w:rFonts w:eastAsia="Times New Roman" w:cs="Arial"/>
          <w:color w:val="25282A"/>
          <w:szCs w:val="24"/>
          <w:lang w:val="en-US"/>
        </w:rPr>
        <w:t xml:space="preserve"> are covered.</w:t>
      </w:r>
    </w:p>
    <w:p w14:paraId="6FF2766B" w14:textId="77777777" w:rsidR="005F0796" w:rsidRPr="001366ED" w:rsidRDefault="005F0796" w:rsidP="001366ED"/>
    <w:sectPr w:rsidR="005F0796" w:rsidRPr="001366ED" w:rsidSect="00AE633E">
      <w:headerReference w:type="default" r:id="rId7"/>
      <w:footerReference w:type="default" r:id="rId8"/>
      <w:headerReference w:type="first" r:id="rId9"/>
      <w:footerReference w:type="first" r:id="rId10"/>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F674" w14:textId="77777777" w:rsidR="00E06086" w:rsidRDefault="00E06086" w:rsidP="00E06086">
      <w:pPr>
        <w:spacing w:after="0" w:line="240" w:lineRule="auto"/>
      </w:pPr>
      <w:r>
        <w:separator/>
      </w:r>
    </w:p>
  </w:endnote>
  <w:endnote w:type="continuationSeparator" w:id="0">
    <w:p w14:paraId="3EFF9911" w14:textId="77777777" w:rsidR="00E06086" w:rsidRDefault="00E06086" w:rsidP="00E0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F9B7" w14:textId="77777777" w:rsidR="00E06086" w:rsidRDefault="00E06086" w:rsidP="00E06086">
    <w:pPr>
      <w:spacing w:after="0" w:line="240" w:lineRule="auto"/>
      <w:rPr>
        <w:rFonts w:cs="Arial"/>
        <w:color w:val="FAA41A"/>
        <w:sz w:val="12"/>
        <w:szCs w:val="16"/>
      </w:rPr>
    </w:pPr>
    <w:r>
      <w:rPr>
        <w:rFonts w:cs="Arial"/>
        <w:noProof/>
        <w:color w:val="FAA41A"/>
        <w:sz w:val="16"/>
        <w:szCs w:val="16"/>
        <w:lang w:eastAsia="en-GB"/>
      </w:rPr>
      <w:drawing>
        <wp:anchor distT="0" distB="0" distL="114300" distR="114300" simplePos="0" relativeHeight="251661312" behindDoc="0" locked="0" layoutInCell="1" allowOverlap="1" wp14:anchorId="531ADC7A" wp14:editId="48890864">
          <wp:simplePos x="0" y="0"/>
          <wp:positionH relativeFrom="margin">
            <wp:posOffset>3775710</wp:posOffset>
          </wp:positionH>
          <wp:positionV relativeFrom="paragraph">
            <wp:posOffset>63500</wp:posOffset>
          </wp:positionV>
          <wp:extent cx="2289204" cy="31055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Email Footer.jpg"/>
                  <pic:cNvPicPr/>
                </pic:nvPicPr>
                <pic:blipFill>
                  <a:blip r:embed="rId1">
                    <a:extLst>
                      <a:ext uri="{28A0092B-C50C-407E-A947-70E740481C1C}">
                        <a14:useLocalDpi xmlns:a14="http://schemas.microsoft.com/office/drawing/2010/main" val="0"/>
                      </a:ext>
                    </a:extLst>
                  </a:blip>
                  <a:stretch>
                    <a:fillRect/>
                  </a:stretch>
                </pic:blipFill>
                <pic:spPr>
                  <a:xfrm>
                    <a:off x="0" y="0"/>
                    <a:ext cx="2289204" cy="310551"/>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FAA41A"/>
        <w:sz w:val="16"/>
        <w:szCs w:val="16"/>
        <w:lang w:eastAsia="en-GB"/>
      </w:rPr>
      <w:drawing>
        <wp:anchor distT="0" distB="0" distL="114300" distR="114300" simplePos="0" relativeHeight="251657216" behindDoc="1" locked="0" layoutInCell="1" allowOverlap="1" wp14:anchorId="4C13B686" wp14:editId="2B4E167C">
          <wp:simplePos x="0" y="0"/>
          <wp:positionH relativeFrom="margin">
            <wp:posOffset>2934335</wp:posOffset>
          </wp:positionH>
          <wp:positionV relativeFrom="bottomMargin">
            <wp:posOffset>9525</wp:posOffset>
          </wp:positionV>
          <wp:extent cx="474453" cy="474453"/>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ForGoo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453" cy="474453"/>
                  </a:xfrm>
                  <a:prstGeom prst="rect">
                    <a:avLst/>
                  </a:prstGeom>
                </pic:spPr>
              </pic:pic>
            </a:graphicData>
          </a:graphic>
          <wp14:sizeRelH relativeFrom="margin">
            <wp14:pctWidth>0</wp14:pctWidth>
          </wp14:sizeRelH>
          <wp14:sizeRelV relativeFrom="margin">
            <wp14:pctHeight>0</wp14:pctHeight>
          </wp14:sizeRelV>
        </wp:anchor>
      </w:drawing>
    </w:r>
    <w:r w:rsidRPr="00B64FE2">
      <w:rPr>
        <w:rFonts w:cs="Arial"/>
        <w:color w:val="FAA41A"/>
        <w:sz w:val="12"/>
        <w:szCs w:val="16"/>
      </w:rPr>
      <w:t>Greenspace Information for Greater London</w:t>
    </w:r>
    <w:r>
      <w:rPr>
        <w:rFonts w:cs="Arial"/>
        <w:color w:val="FAA41A"/>
        <w:sz w:val="12"/>
        <w:szCs w:val="16"/>
      </w:rPr>
      <w:t xml:space="preserve"> CIC</w:t>
    </w:r>
    <w:r w:rsidRPr="00B64FE2">
      <w:rPr>
        <w:rFonts w:cs="Arial"/>
        <w:color w:val="FAA41A"/>
        <w:sz w:val="12"/>
        <w:szCs w:val="16"/>
      </w:rPr>
      <w:t xml:space="preserve"> is a community interest company</w:t>
    </w:r>
  </w:p>
  <w:p w14:paraId="5684E86D" w14:textId="77777777" w:rsidR="00E06086" w:rsidRPr="00FC56F8" w:rsidRDefault="00E06086" w:rsidP="00E06086">
    <w:pPr>
      <w:spacing w:after="0" w:line="240" w:lineRule="auto"/>
      <w:rPr>
        <w:color w:val="FAA41A"/>
        <w:sz w:val="16"/>
        <w:szCs w:val="16"/>
      </w:rPr>
    </w:pPr>
    <w:r w:rsidRPr="00B64FE2">
      <w:rPr>
        <w:rFonts w:cs="Arial"/>
        <w:color w:val="FAA41A"/>
        <w:sz w:val="12"/>
        <w:szCs w:val="16"/>
      </w:rPr>
      <w:t>limited by guarantee registered in England and Wales 8345552</w:t>
    </w:r>
    <w:r>
      <w:rPr>
        <w:rFonts w:cs="Arial"/>
        <w:color w:val="FAA41A"/>
        <w:sz w:val="16"/>
        <w:szCs w:val="16"/>
      </w:rPr>
      <w:t>.</w:t>
    </w:r>
  </w:p>
  <w:p w14:paraId="43D57CAF" w14:textId="77777777" w:rsidR="00E06086" w:rsidRDefault="00E06086" w:rsidP="00E06086">
    <w:pPr>
      <w:spacing w:after="0" w:line="240" w:lineRule="auto"/>
      <w:ind w:right="-46"/>
      <w:rPr>
        <w:rFonts w:cs="Arial"/>
        <w:color w:val="FAA41A"/>
        <w:sz w:val="12"/>
        <w:szCs w:val="16"/>
      </w:rPr>
    </w:pPr>
    <w:r w:rsidRPr="00B64FE2">
      <w:rPr>
        <w:rFonts w:cs="Arial"/>
        <w:color w:val="FAA41A"/>
        <w:sz w:val="12"/>
        <w:szCs w:val="16"/>
      </w:rPr>
      <w:t>Registered Address:  10 Queen Street Place, London, EC4R 1BE</w:t>
    </w:r>
  </w:p>
  <w:p w14:paraId="701D0C4E" w14:textId="77777777" w:rsidR="00E06086" w:rsidRPr="00822C58" w:rsidRDefault="00E06086" w:rsidP="00E06086">
    <w:pPr>
      <w:spacing w:after="0" w:line="240" w:lineRule="auto"/>
      <w:ind w:right="-46"/>
      <w:jc w:val="center"/>
      <w:rPr>
        <w:rFonts w:cs="Arial"/>
        <w:color w:val="FAA41A"/>
        <w:sz w:val="12"/>
        <w:szCs w:val="16"/>
      </w:rPr>
    </w:pPr>
  </w:p>
  <w:p w14:paraId="256DF829" w14:textId="77777777" w:rsidR="00E06086" w:rsidRDefault="00E06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8D33" w14:textId="77777777" w:rsidR="0053611D" w:rsidRDefault="0053611D" w:rsidP="0053611D">
    <w:pPr>
      <w:spacing w:after="0" w:line="240" w:lineRule="auto"/>
      <w:rPr>
        <w:rFonts w:cs="Arial"/>
        <w:color w:val="FAA41A"/>
        <w:sz w:val="12"/>
        <w:szCs w:val="16"/>
      </w:rPr>
    </w:pPr>
    <w:r>
      <w:rPr>
        <w:rFonts w:cs="Arial"/>
        <w:noProof/>
        <w:color w:val="FAA41A"/>
        <w:sz w:val="16"/>
        <w:szCs w:val="16"/>
        <w:lang w:eastAsia="en-GB"/>
      </w:rPr>
      <w:drawing>
        <wp:anchor distT="0" distB="0" distL="114300" distR="114300" simplePos="0" relativeHeight="251664384" behindDoc="0" locked="0" layoutInCell="1" allowOverlap="1" wp14:anchorId="6CC00D50" wp14:editId="1ECBAE1A">
          <wp:simplePos x="0" y="0"/>
          <wp:positionH relativeFrom="margin">
            <wp:posOffset>3775710</wp:posOffset>
          </wp:positionH>
          <wp:positionV relativeFrom="paragraph">
            <wp:posOffset>63500</wp:posOffset>
          </wp:positionV>
          <wp:extent cx="2289204" cy="310551"/>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Email Footer.jpg"/>
                  <pic:cNvPicPr/>
                </pic:nvPicPr>
                <pic:blipFill>
                  <a:blip r:embed="rId1">
                    <a:extLst>
                      <a:ext uri="{28A0092B-C50C-407E-A947-70E740481C1C}">
                        <a14:useLocalDpi xmlns:a14="http://schemas.microsoft.com/office/drawing/2010/main" val="0"/>
                      </a:ext>
                    </a:extLst>
                  </a:blip>
                  <a:stretch>
                    <a:fillRect/>
                  </a:stretch>
                </pic:blipFill>
                <pic:spPr>
                  <a:xfrm>
                    <a:off x="0" y="0"/>
                    <a:ext cx="2289204" cy="310551"/>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FAA41A"/>
        <w:sz w:val="16"/>
        <w:szCs w:val="16"/>
        <w:lang w:eastAsia="en-GB"/>
      </w:rPr>
      <w:drawing>
        <wp:anchor distT="0" distB="0" distL="114300" distR="114300" simplePos="0" relativeHeight="251663360" behindDoc="1" locked="0" layoutInCell="1" allowOverlap="1" wp14:anchorId="06E2CEA0" wp14:editId="461D85EC">
          <wp:simplePos x="0" y="0"/>
          <wp:positionH relativeFrom="margin">
            <wp:posOffset>2934335</wp:posOffset>
          </wp:positionH>
          <wp:positionV relativeFrom="bottomMargin">
            <wp:posOffset>9525</wp:posOffset>
          </wp:positionV>
          <wp:extent cx="474453" cy="474453"/>
          <wp:effectExtent l="0" t="0" r="1905" b="1905"/>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ForGoo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453" cy="474453"/>
                  </a:xfrm>
                  <a:prstGeom prst="rect">
                    <a:avLst/>
                  </a:prstGeom>
                </pic:spPr>
              </pic:pic>
            </a:graphicData>
          </a:graphic>
          <wp14:sizeRelH relativeFrom="margin">
            <wp14:pctWidth>0</wp14:pctWidth>
          </wp14:sizeRelH>
          <wp14:sizeRelV relativeFrom="margin">
            <wp14:pctHeight>0</wp14:pctHeight>
          </wp14:sizeRelV>
        </wp:anchor>
      </w:drawing>
    </w:r>
    <w:r w:rsidRPr="00B64FE2">
      <w:rPr>
        <w:rFonts w:cs="Arial"/>
        <w:color w:val="FAA41A"/>
        <w:sz w:val="12"/>
        <w:szCs w:val="16"/>
      </w:rPr>
      <w:t>Greenspace Information for Greater London</w:t>
    </w:r>
    <w:r>
      <w:rPr>
        <w:rFonts w:cs="Arial"/>
        <w:color w:val="FAA41A"/>
        <w:sz w:val="12"/>
        <w:szCs w:val="16"/>
      </w:rPr>
      <w:t xml:space="preserve"> CIC</w:t>
    </w:r>
    <w:r w:rsidRPr="00B64FE2">
      <w:rPr>
        <w:rFonts w:cs="Arial"/>
        <w:color w:val="FAA41A"/>
        <w:sz w:val="12"/>
        <w:szCs w:val="16"/>
      </w:rPr>
      <w:t xml:space="preserve"> is a community interest company</w:t>
    </w:r>
  </w:p>
  <w:p w14:paraId="7F38A993" w14:textId="77777777" w:rsidR="0053611D" w:rsidRPr="00FC56F8" w:rsidRDefault="0053611D" w:rsidP="0053611D">
    <w:pPr>
      <w:spacing w:after="0" w:line="240" w:lineRule="auto"/>
      <w:rPr>
        <w:color w:val="FAA41A"/>
        <w:sz w:val="16"/>
        <w:szCs w:val="16"/>
      </w:rPr>
    </w:pPr>
    <w:r w:rsidRPr="00B64FE2">
      <w:rPr>
        <w:rFonts w:cs="Arial"/>
        <w:color w:val="FAA41A"/>
        <w:sz w:val="12"/>
        <w:szCs w:val="16"/>
      </w:rPr>
      <w:t>limited by guarantee registered in England and Wales 8345552</w:t>
    </w:r>
    <w:r>
      <w:rPr>
        <w:rFonts w:cs="Arial"/>
        <w:color w:val="FAA41A"/>
        <w:sz w:val="16"/>
        <w:szCs w:val="16"/>
      </w:rPr>
      <w:t>.</w:t>
    </w:r>
  </w:p>
  <w:p w14:paraId="3BCE7A9E" w14:textId="77777777" w:rsidR="0053611D" w:rsidRPr="0053611D" w:rsidRDefault="0053611D" w:rsidP="0053611D">
    <w:pPr>
      <w:spacing w:after="0" w:line="240" w:lineRule="auto"/>
      <w:ind w:right="-46"/>
      <w:rPr>
        <w:rFonts w:cs="Arial"/>
        <w:color w:val="FAA41A"/>
        <w:sz w:val="12"/>
        <w:szCs w:val="16"/>
      </w:rPr>
    </w:pPr>
    <w:r w:rsidRPr="00B64FE2">
      <w:rPr>
        <w:rFonts w:cs="Arial"/>
        <w:color w:val="FAA41A"/>
        <w:sz w:val="12"/>
        <w:szCs w:val="16"/>
      </w:rPr>
      <w:t>Registered Address:  10 Queen Street Place, London, EC4R 1BE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CFC5" w14:textId="77777777" w:rsidR="00E06086" w:rsidRDefault="00E06086" w:rsidP="00E06086">
      <w:pPr>
        <w:spacing w:after="0" w:line="240" w:lineRule="auto"/>
      </w:pPr>
      <w:r>
        <w:separator/>
      </w:r>
    </w:p>
  </w:footnote>
  <w:footnote w:type="continuationSeparator" w:id="0">
    <w:p w14:paraId="19E25DCC" w14:textId="77777777" w:rsidR="00E06086" w:rsidRDefault="00E06086" w:rsidP="00E0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F441" w14:textId="77777777" w:rsidR="00E06086" w:rsidRDefault="00E06086" w:rsidP="004568E8">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A4D6" w14:textId="77777777" w:rsidR="00AE633E" w:rsidRDefault="00AE633E" w:rsidP="00AE633E">
    <w:pPr>
      <w:pStyle w:val="Header"/>
      <w:ind w:left="-1418"/>
    </w:pPr>
    <w:r>
      <w:rPr>
        <w:rFonts w:cs="Arial"/>
        <w:noProof/>
        <w:lang w:eastAsia="en-GB"/>
      </w:rPr>
      <w:drawing>
        <wp:inline distT="0" distB="0" distL="0" distR="0" wp14:anchorId="6DC16AC9" wp14:editId="302A95C2">
          <wp:extent cx="5731510" cy="12827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GLLogo2017_FINAL_full01.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282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B37"/>
    <w:multiLevelType w:val="hybridMultilevel"/>
    <w:tmpl w:val="4E44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654A4"/>
    <w:multiLevelType w:val="hybridMultilevel"/>
    <w:tmpl w:val="CFE627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C35315"/>
    <w:multiLevelType w:val="hybridMultilevel"/>
    <w:tmpl w:val="39D40130"/>
    <w:lvl w:ilvl="0" w:tplc="DB8C0838">
      <w:start w:val="1"/>
      <w:numFmt w:val="bullet"/>
      <w:lvlText w:val="•"/>
      <w:lvlJc w:val="left"/>
      <w:pPr>
        <w:tabs>
          <w:tab w:val="num" w:pos="360"/>
        </w:tabs>
        <w:ind w:left="360" w:hanging="360"/>
      </w:pPr>
      <w:rPr>
        <w:rFonts w:ascii="Arial" w:hAnsi="Arial" w:hint="default"/>
      </w:rPr>
    </w:lvl>
    <w:lvl w:ilvl="1" w:tplc="86C0FCC0" w:tentative="1">
      <w:start w:val="1"/>
      <w:numFmt w:val="bullet"/>
      <w:lvlText w:val="•"/>
      <w:lvlJc w:val="left"/>
      <w:pPr>
        <w:tabs>
          <w:tab w:val="num" w:pos="1080"/>
        </w:tabs>
        <w:ind w:left="1080" w:hanging="360"/>
      </w:pPr>
      <w:rPr>
        <w:rFonts w:ascii="Arial" w:hAnsi="Arial" w:hint="default"/>
      </w:rPr>
    </w:lvl>
    <w:lvl w:ilvl="2" w:tplc="E5CAFFF8" w:tentative="1">
      <w:start w:val="1"/>
      <w:numFmt w:val="bullet"/>
      <w:lvlText w:val="•"/>
      <w:lvlJc w:val="left"/>
      <w:pPr>
        <w:tabs>
          <w:tab w:val="num" w:pos="1800"/>
        </w:tabs>
        <w:ind w:left="1800" w:hanging="360"/>
      </w:pPr>
      <w:rPr>
        <w:rFonts w:ascii="Arial" w:hAnsi="Arial" w:hint="default"/>
      </w:rPr>
    </w:lvl>
    <w:lvl w:ilvl="3" w:tplc="7F46037C" w:tentative="1">
      <w:start w:val="1"/>
      <w:numFmt w:val="bullet"/>
      <w:lvlText w:val="•"/>
      <w:lvlJc w:val="left"/>
      <w:pPr>
        <w:tabs>
          <w:tab w:val="num" w:pos="2520"/>
        </w:tabs>
        <w:ind w:left="2520" w:hanging="360"/>
      </w:pPr>
      <w:rPr>
        <w:rFonts w:ascii="Arial" w:hAnsi="Arial" w:hint="default"/>
      </w:rPr>
    </w:lvl>
    <w:lvl w:ilvl="4" w:tplc="0FBC1F12" w:tentative="1">
      <w:start w:val="1"/>
      <w:numFmt w:val="bullet"/>
      <w:lvlText w:val="•"/>
      <w:lvlJc w:val="left"/>
      <w:pPr>
        <w:tabs>
          <w:tab w:val="num" w:pos="3240"/>
        </w:tabs>
        <w:ind w:left="3240" w:hanging="360"/>
      </w:pPr>
      <w:rPr>
        <w:rFonts w:ascii="Arial" w:hAnsi="Arial" w:hint="default"/>
      </w:rPr>
    </w:lvl>
    <w:lvl w:ilvl="5" w:tplc="36FCD5E8" w:tentative="1">
      <w:start w:val="1"/>
      <w:numFmt w:val="bullet"/>
      <w:lvlText w:val="•"/>
      <w:lvlJc w:val="left"/>
      <w:pPr>
        <w:tabs>
          <w:tab w:val="num" w:pos="3960"/>
        </w:tabs>
        <w:ind w:left="3960" w:hanging="360"/>
      </w:pPr>
      <w:rPr>
        <w:rFonts w:ascii="Arial" w:hAnsi="Arial" w:hint="default"/>
      </w:rPr>
    </w:lvl>
    <w:lvl w:ilvl="6" w:tplc="CB3655D4" w:tentative="1">
      <w:start w:val="1"/>
      <w:numFmt w:val="bullet"/>
      <w:lvlText w:val="•"/>
      <w:lvlJc w:val="left"/>
      <w:pPr>
        <w:tabs>
          <w:tab w:val="num" w:pos="4680"/>
        </w:tabs>
        <w:ind w:left="4680" w:hanging="360"/>
      </w:pPr>
      <w:rPr>
        <w:rFonts w:ascii="Arial" w:hAnsi="Arial" w:hint="default"/>
      </w:rPr>
    </w:lvl>
    <w:lvl w:ilvl="7" w:tplc="16563906" w:tentative="1">
      <w:start w:val="1"/>
      <w:numFmt w:val="bullet"/>
      <w:lvlText w:val="•"/>
      <w:lvlJc w:val="left"/>
      <w:pPr>
        <w:tabs>
          <w:tab w:val="num" w:pos="5400"/>
        </w:tabs>
        <w:ind w:left="5400" w:hanging="360"/>
      </w:pPr>
      <w:rPr>
        <w:rFonts w:ascii="Arial" w:hAnsi="Arial" w:hint="default"/>
      </w:rPr>
    </w:lvl>
    <w:lvl w:ilvl="8" w:tplc="ED22B1E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7C020CC"/>
    <w:multiLevelType w:val="hybridMultilevel"/>
    <w:tmpl w:val="BE2C197C"/>
    <w:lvl w:ilvl="0" w:tplc="33522B5E">
      <w:start w:val="1"/>
      <w:numFmt w:val="bullet"/>
      <w:lvlText w:val="•"/>
      <w:lvlJc w:val="left"/>
      <w:pPr>
        <w:tabs>
          <w:tab w:val="num" w:pos="360"/>
        </w:tabs>
        <w:ind w:left="360" w:hanging="360"/>
      </w:pPr>
      <w:rPr>
        <w:rFonts w:ascii="Arial" w:hAnsi="Arial" w:hint="default"/>
      </w:rPr>
    </w:lvl>
    <w:lvl w:ilvl="1" w:tplc="FC362AF8">
      <w:start w:val="174"/>
      <w:numFmt w:val="bullet"/>
      <w:lvlText w:val="•"/>
      <w:lvlJc w:val="left"/>
      <w:pPr>
        <w:tabs>
          <w:tab w:val="num" w:pos="1080"/>
        </w:tabs>
        <w:ind w:left="1080" w:hanging="360"/>
      </w:pPr>
      <w:rPr>
        <w:rFonts w:ascii="Arial" w:hAnsi="Arial" w:hint="default"/>
      </w:rPr>
    </w:lvl>
    <w:lvl w:ilvl="2" w:tplc="DD9653CA" w:tentative="1">
      <w:start w:val="1"/>
      <w:numFmt w:val="bullet"/>
      <w:lvlText w:val="•"/>
      <w:lvlJc w:val="left"/>
      <w:pPr>
        <w:tabs>
          <w:tab w:val="num" w:pos="1800"/>
        </w:tabs>
        <w:ind w:left="1800" w:hanging="360"/>
      </w:pPr>
      <w:rPr>
        <w:rFonts w:ascii="Arial" w:hAnsi="Arial" w:hint="default"/>
      </w:rPr>
    </w:lvl>
    <w:lvl w:ilvl="3" w:tplc="078E103A" w:tentative="1">
      <w:start w:val="1"/>
      <w:numFmt w:val="bullet"/>
      <w:lvlText w:val="•"/>
      <w:lvlJc w:val="left"/>
      <w:pPr>
        <w:tabs>
          <w:tab w:val="num" w:pos="2520"/>
        </w:tabs>
        <w:ind w:left="2520" w:hanging="360"/>
      </w:pPr>
      <w:rPr>
        <w:rFonts w:ascii="Arial" w:hAnsi="Arial" w:hint="default"/>
      </w:rPr>
    </w:lvl>
    <w:lvl w:ilvl="4" w:tplc="F012A846" w:tentative="1">
      <w:start w:val="1"/>
      <w:numFmt w:val="bullet"/>
      <w:lvlText w:val="•"/>
      <w:lvlJc w:val="left"/>
      <w:pPr>
        <w:tabs>
          <w:tab w:val="num" w:pos="3240"/>
        </w:tabs>
        <w:ind w:left="3240" w:hanging="360"/>
      </w:pPr>
      <w:rPr>
        <w:rFonts w:ascii="Arial" w:hAnsi="Arial" w:hint="default"/>
      </w:rPr>
    </w:lvl>
    <w:lvl w:ilvl="5" w:tplc="18306AB0" w:tentative="1">
      <w:start w:val="1"/>
      <w:numFmt w:val="bullet"/>
      <w:lvlText w:val="•"/>
      <w:lvlJc w:val="left"/>
      <w:pPr>
        <w:tabs>
          <w:tab w:val="num" w:pos="3960"/>
        </w:tabs>
        <w:ind w:left="3960" w:hanging="360"/>
      </w:pPr>
      <w:rPr>
        <w:rFonts w:ascii="Arial" w:hAnsi="Arial" w:hint="default"/>
      </w:rPr>
    </w:lvl>
    <w:lvl w:ilvl="6" w:tplc="477008E6" w:tentative="1">
      <w:start w:val="1"/>
      <w:numFmt w:val="bullet"/>
      <w:lvlText w:val="•"/>
      <w:lvlJc w:val="left"/>
      <w:pPr>
        <w:tabs>
          <w:tab w:val="num" w:pos="4680"/>
        </w:tabs>
        <w:ind w:left="4680" w:hanging="360"/>
      </w:pPr>
      <w:rPr>
        <w:rFonts w:ascii="Arial" w:hAnsi="Arial" w:hint="default"/>
      </w:rPr>
    </w:lvl>
    <w:lvl w:ilvl="7" w:tplc="AEF0A2E0" w:tentative="1">
      <w:start w:val="1"/>
      <w:numFmt w:val="bullet"/>
      <w:lvlText w:val="•"/>
      <w:lvlJc w:val="left"/>
      <w:pPr>
        <w:tabs>
          <w:tab w:val="num" w:pos="5400"/>
        </w:tabs>
        <w:ind w:left="5400" w:hanging="360"/>
      </w:pPr>
      <w:rPr>
        <w:rFonts w:ascii="Arial" w:hAnsi="Arial" w:hint="default"/>
      </w:rPr>
    </w:lvl>
    <w:lvl w:ilvl="8" w:tplc="09EE4CDC" w:tentative="1">
      <w:start w:val="1"/>
      <w:numFmt w:val="bullet"/>
      <w:lvlText w:val="•"/>
      <w:lvlJc w:val="left"/>
      <w:pPr>
        <w:tabs>
          <w:tab w:val="num" w:pos="6120"/>
        </w:tabs>
        <w:ind w:left="6120" w:hanging="360"/>
      </w:pPr>
      <w:rPr>
        <w:rFonts w:ascii="Arial" w:hAnsi="Arial" w:hint="default"/>
      </w:rPr>
    </w:lvl>
  </w:abstractNum>
  <w:num w:numId="1" w16cid:durableId="710037973">
    <w:abstractNumId w:val="3"/>
  </w:num>
  <w:num w:numId="2" w16cid:durableId="1684428375">
    <w:abstractNumId w:val="2"/>
  </w:num>
  <w:num w:numId="3" w16cid:durableId="69427729">
    <w:abstractNumId w:val="0"/>
  </w:num>
  <w:num w:numId="4" w16cid:durableId="39847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CB"/>
    <w:rsid w:val="000D2894"/>
    <w:rsid w:val="0013003D"/>
    <w:rsid w:val="001366ED"/>
    <w:rsid w:val="0022403D"/>
    <w:rsid w:val="002F3045"/>
    <w:rsid w:val="00326082"/>
    <w:rsid w:val="004568E8"/>
    <w:rsid w:val="00486686"/>
    <w:rsid w:val="0053611D"/>
    <w:rsid w:val="00567B45"/>
    <w:rsid w:val="005F0796"/>
    <w:rsid w:val="005F7935"/>
    <w:rsid w:val="0065288B"/>
    <w:rsid w:val="006E21E8"/>
    <w:rsid w:val="00715C3E"/>
    <w:rsid w:val="00820FE3"/>
    <w:rsid w:val="00836B94"/>
    <w:rsid w:val="008C52B9"/>
    <w:rsid w:val="00963E77"/>
    <w:rsid w:val="009663B6"/>
    <w:rsid w:val="009E1CD5"/>
    <w:rsid w:val="00A9694F"/>
    <w:rsid w:val="00AE633E"/>
    <w:rsid w:val="00B213CB"/>
    <w:rsid w:val="00B9752D"/>
    <w:rsid w:val="00E06086"/>
    <w:rsid w:val="00EB21AF"/>
    <w:rsid w:val="00F14494"/>
    <w:rsid w:val="00FD07AB"/>
    <w:rsid w:val="00FE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9966566"/>
  <w15:chartTrackingRefBased/>
  <w15:docId w15:val="{80D46D23-7DCE-4CD9-B407-040891E0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B94"/>
    <w:rPr>
      <w:rFonts w:ascii="Arial" w:hAnsi="Arial"/>
      <w:lang w:eastAsia="en-US"/>
    </w:rPr>
  </w:style>
  <w:style w:type="paragraph" w:styleId="Heading1">
    <w:name w:val="heading 1"/>
    <w:basedOn w:val="Normal"/>
    <w:next w:val="Normal"/>
    <w:link w:val="Heading1Char"/>
    <w:uiPriority w:val="9"/>
    <w:qFormat/>
    <w:rsid w:val="00486686"/>
    <w:pPr>
      <w:keepNext/>
      <w:keepLines/>
      <w:spacing w:after="0" w:line="240" w:lineRule="auto"/>
      <w:outlineLvl w:val="0"/>
    </w:pPr>
    <w:rPr>
      <w:rFonts w:eastAsia="Times New Roman" w:cstheme="majorBidi"/>
      <w:b/>
      <w:bCs/>
      <w:color w:val="FAA41A"/>
      <w:sz w:val="32"/>
      <w:szCs w:val="28"/>
      <w:lang w:val="en-US" w:eastAsia="en-GB"/>
    </w:rPr>
  </w:style>
  <w:style w:type="paragraph" w:styleId="Heading2">
    <w:name w:val="heading 2"/>
    <w:basedOn w:val="Normal"/>
    <w:next w:val="Normal"/>
    <w:link w:val="Heading2Char"/>
    <w:uiPriority w:val="9"/>
    <w:unhideWhenUsed/>
    <w:qFormat/>
    <w:rsid w:val="00836B94"/>
    <w:pPr>
      <w:keepNext/>
      <w:keepLines/>
      <w:spacing w:before="120" w:after="120" w:line="240" w:lineRule="auto"/>
      <w:outlineLvl w:val="1"/>
    </w:pPr>
    <w:rPr>
      <w:rFonts w:eastAsiaTheme="majorEastAsia" w:cstheme="majorBidi"/>
      <w:b/>
      <w:bCs/>
      <w:i/>
      <w:color w:val="FAA41A"/>
      <w:sz w:val="28"/>
      <w:szCs w:val="26"/>
      <w:lang w:val="en-US" w:eastAsia="en-GB"/>
    </w:rPr>
  </w:style>
  <w:style w:type="paragraph" w:styleId="Heading3">
    <w:name w:val="heading 3"/>
    <w:basedOn w:val="Normal"/>
    <w:next w:val="Normal"/>
    <w:link w:val="Heading3Char"/>
    <w:uiPriority w:val="9"/>
    <w:semiHidden/>
    <w:unhideWhenUsed/>
    <w:qFormat/>
    <w:rsid w:val="006E21E8"/>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686"/>
    <w:rPr>
      <w:rFonts w:ascii="Arial" w:eastAsia="Times New Roman" w:hAnsi="Arial" w:cstheme="majorBidi"/>
      <w:b/>
      <w:bCs/>
      <w:color w:val="FAA41A"/>
      <w:sz w:val="32"/>
      <w:szCs w:val="28"/>
      <w:lang w:val="en-US"/>
    </w:rPr>
  </w:style>
  <w:style w:type="character" w:customStyle="1" w:styleId="Heading2Char">
    <w:name w:val="Heading 2 Char"/>
    <w:basedOn w:val="DefaultParagraphFont"/>
    <w:link w:val="Heading2"/>
    <w:uiPriority w:val="9"/>
    <w:rsid w:val="00836B94"/>
    <w:rPr>
      <w:rFonts w:ascii="Arial" w:eastAsiaTheme="majorEastAsia" w:hAnsi="Arial" w:cstheme="majorBidi"/>
      <w:b/>
      <w:bCs/>
      <w:i/>
      <w:color w:val="FAA41A"/>
      <w:sz w:val="28"/>
      <w:szCs w:val="26"/>
      <w:lang w:val="en-US"/>
    </w:rPr>
  </w:style>
  <w:style w:type="paragraph" w:styleId="NoSpacing">
    <w:name w:val="No Spacing"/>
    <w:uiPriority w:val="1"/>
    <w:qFormat/>
    <w:rsid w:val="006E21E8"/>
    <w:pPr>
      <w:spacing w:after="0" w:line="240" w:lineRule="auto"/>
    </w:pPr>
    <w:rPr>
      <w:rFonts w:ascii="Arial" w:hAnsi="Arial"/>
    </w:rPr>
  </w:style>
  <w:style w:type="paragraph" w:styleId="Quote">
    <w:name w:val="Quote"/>
    <w:basedOn w:val="Normal"/>
    <w:next w:val="Normal"/>
    <w:link w:val="QuoteChar"/>
    <w:uiPriority w:val="29"/>
    <w:qFormat/>
    <w:rsid w:val="00F14494"/>
    <w:rPr>
      <w:i/>
      <w:iCs/>
      <w:color w:val="FAA41A"/>
    </w:rPr>
  </w:style>
  <w:style w:type="character" w:customStyle="1" w:styleId="QuoteChar">
    <w:name w:val="Quote Char"/>
    <w:basedOn w:val="DefaultParagraphFont"/>
    <w:link w:val="Quote"/>
    <w:uiPriority w:val="29"/>
    <w:rsid w:val="00F14494"/>
    <w:rPr>
      <w:i/>
      <w:iCs/>
      <w:color w:val="FAA41A"/>
      <w:sz w:val="24"/>
    </w:rPr>
  </w:style>
  <w:style w:type="character" w:customStyle="1" w:styleId="Heading3Char">
    <w:name w:val="Heading 3 Char"/>
    <w:basedOn w:val="DefaultParagraphFont"/>
    <w:link w:val="Heading3"/>
    <w:uiPriority w:val="9"/>
    <w:semiHidden/>
    <w:rsid w:val="006E21E8"/>
    <w:rPr>
      <w:rFonts w:ascii="Arial" w:eastAsiaTheme="majorEastAsia" w:hAnsi="Arial" w:cstheme="majorBidi"/>
      <w:color w:val="30313B"/>
      <w:sz w:val="24"/>
      <w:szCs w:val="24"/>
    </w:rPr>
  </w:style>
  <w:style w:type="paragraph" w:styleId="IntenseQuote">
    <w:name w:val="Intense Quote"/>
    <w:basedOn w:val="Normal"/>
    <w:next w:val="Normal"/>
    <w:link w:val="IntenseQuoteChar"/>
    <w:uiPriority w:val="30"/>
    <w:qFormat/>
    <w:rsid w:val="006E21E8"/>
    <w:pPr>
      <w:pBdr>
        <w:top w:val="single" w:sz="4" w:space="10" w:color="FAA41A"/>
        <w:bottom w:val="single" w:sz="4" w:space="10" w:color="FAA41A"/>
      </w:pBdr>
      <w:spacing w:before="360" w:after="360"/>
      <w:ind w:left="864" w:right="864"/>
      <w:jc w:val="center"/>
    </w:pPr>
    <w:rPr>
      <w:i/>
      <w:iCs/>
      <w:color w:val="FAA41A"/>
    </w:rPr>
  </w:style>
  <w:style w:type="character" w:customStyle="1" w:styleId="IntenseQuoteChar">
    <w:name w:val="Intense Quote Char"/>
    <w:basedOn w:val="DefaultParagraphFont"/>
    <w:link w:val="IntenseQuote"/>
    <w:uiPriority w:val="30"/>
    <w:rsid w:val="006E21E8"/>
    <w:rPr>
      <w:rFonts w:ascii="Arial" w:hAnsi="Arial"/>
      <w:i/>
      <w:iCs/>
      <w:color w:val="FAA41A"/>
      <w:sz w:val="24"/>
    </w:rPr>
  </w:style>
  <w:style w:type="paragraph" w:styleId="Header">
    <w:name w:val="header"/>
    <w:basedOn w:val="Normal"/>
    <w:link w:val="HeaderChar"/>
    <w:uiPriority w:val="99"/>
    <w:unhideWhenUsed/>
    <w:rsid w:val="00E06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086"/>
    <w:rPr>
      <w:rFonts w:ascii="Arial" w:hAnsi="Arial"/>
      <w:lang w:eastAsia="en-US"/>
    </w:rPr>
  </w:style>
  <w:style w:type="paragraph" w:styleId="Footer">
    <w:name w:val="footer"/>
    <w:basedOn w:val="Normal"/>
    <w:link w:val="FooterChar"/>
    <w:uiPriority w:val="99"/>
    <w:unhideWhenUsed/>
    <w:rsid w:val="00E06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086"/>
    <w:rPr>
      <w:rFonts w:ascii="Arial" w:hAnsi="Arial"/>
      <w:lang w:eastAsia="en-US"/>
    </w:rPr>
  </w:style>
  <w:style w:type="paragraph" w:styleId="ListParagraph">
    <w:name w:val="List Paragraph"/>
    <w:basedOn w:val="Normal"/>
    <w:uiPriority w:val="34"/>
    <w:rsid w:val="0013003D"/>
    <w:pPr>
      <w:spacing w:after="0" w:line="240" w:lineRule="auto"/>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GiGL">
      <a:dk1>
        <a:srgbClr val="25282A"/>
      </a:dk1>
      <a:lt1>
        <a:srgbClr val="FFA300"/>
      </a:lt1>
      <a:dk2>
        <a:srgbClr val="DA186A"/>
      </a:dk2>
      <a:lt2>
        <a:srgbClr val="0BB9AD"/>
      </a:lt2>
      <a:accent1>
        <a:srgbClr val="C7AD8F"/>
      </a:accent1>
      <a:accent2>
        <a:srgbClr val="EADFD4"/>
      </a:accent2>
      <a:accent3>
        <a:srgbClr val="FFFFFF"/>
      </a:accent3>
      <a:accent4>
        <a:srgbClr val="FFFFFF"/>
      </a:accent4>
      <a:accent5>
        <a:srgbClr val="FFFFFF"/>
      </a:accent5>
      <a:accent6>
        <a:srgbClr val="FFFFFF"/>
      </a:accent6>
      <a:hlink>
        <a:srgbClr val="0000FF"/>
      </a:hlink>
      <a:folHlink>
        <a:srgbClr val="800080"/>
      </a:folHlink>
    </a:clrScheme>
    <a:fontScheme name="GiGL">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Mandy Rudd</cp:lastModifiedBy>
  <cp:revision>3</cp:revision>
  <dcterms:created xsi:type="dcterms:W3CDTF">2022-11-29T15:53:00Z</dcterms:created>
  <dcterms:modified xsi:type="dcterms:W3CDTF">2022-11-29T15:57:00Z</dcterms:modified>
</cp:coreProperties>
</file>