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C44A" w14:textId="77777777" w:rsidR="00FE26C8" w:rsidRPr="00FE26C8" w:rsidRDefault="00FE26C8" w:rsidP="00FE26C8">
      <w:pPr>
        <w:spacing w:after="0" w:line="240" w:lineRule="auto"/>
        <w:jc w:val="both"/>
        <w:rPr>
          <w:rFonts w:eastAsia="Times New Roman" w:cs="Arial"/>
          <w:b/>
          <w:color w:val="25282A"/>
          <w:szCs w:val="24"/>
          <w:lang w:val="en-US"/>
        </w:rPr>
      </w:pPr>
    </w:p>
    <w:p w14:paraId="6DC52911" w14:textId="77777777" w:rsidR="00FE26C8" w:rsidRPr="00FE26C8" w:rsidRDefault="00FE26C8" w:rsidP="00FE26C8">
      <w:pPr>
        <w:spacing w:after="0" w:line="240" w:lineRule="auto"/>
        <w:rPr>
          <w:rFonts w:ascii="Times New Roman" w:eastAsia="Times New Roman" w:hAnsi="Times New Roman" w:cs="Arial"/>
          <w:sz w:val="24"/>
          <w:szCs w:val="24"/>
          <w:lang w:val="en-US"/>
        </w:rPr>
      </w:pPr>
    </w:p>
    <w:p w14:paraId="3FC55761" w14:textId="77777777" w:rsidR="00FE26C8" w:rsidRPr="00FE26C8" w:rsidRDefault="00FE26C8" w:rsidP="00FE26C8">
      <w:pPr>
        <w:spacing w:line="240" w:lineRule="auto"/>
        <w:rPr>
          <w:rFonts w:ascii="Times New Roman" w:eastAsia="Times New Roman" w:hAnsi="Times New Roman" w:cs="Arial"/>
          <w:sz w:val="24"/>
          <w:szCs w:val="24"/>
          <w:lang w:val="en-US"/>
        </w:rPr>
      </w:pPr>
    </w:p>
    <w:p w14:paraId="10B5F4CA" w14:textId="77777777" w:rsidR="00FE26C8" w:rsidRPr="00FE26C8" w:rsidRDefault="00FE26C8" w:rsidP="00FE26C8">
      <w:pPr>
        <w:spacing w:line="240" w:lineRule="auto"/>
        <w:rPr>
          <w:rFonts w:ascii="Times New Roman" w:eastAsia="Times New Roman" w:hAnsi="Times New Roman" w:cs="Arial"/>
          <w:sz w:val="24"/>
          <w:szCs w:val="24"/>
          <w:lang w:val="en-US"/>
        </w:rPr>
      </w:pPr>
    </w:p>
    <w:p w14:paraId="2F7CA6FA" w14:textId="77777777" w:rsidR="00FE26C8" w:rsidRPr="00FE26C8" w:rsidRDefault="00FE26C8" w:rsidP="00FE26C8">
      <w:pPr>
        <w:spacing w:line="240" w:lineRule="auto"/>
        <w:rPr>
          <w:rFonts w:ascii="Times New Roman" w:eastAsia="Times New Roman" w:hAnsi="Times New Roman" w:cs="Arial"/>
          <w:sz w:val="24"/>
          <w:szCs w:val="24"/>
          <w:lang w:val="en-US"/>
        </w:rPr>
      </w:pPr>
    </w:p>
    <w:p w14:paraId="5C1E8422" w14:textId="77777777" w:rsidR="00FE26C8" w:rsidRPr="00FE26C8" w:rsidRDefault="00FE26C8" w:rsidP="00FE26C8">
      <w:pPr>
        <w:spacing w:line="240" w:lineRule="auto"/>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E26C8" w:rsidRPr="00FE26C8" w14:paraId="74BA7745" w14:textId="77777777" w:rsidTr="00584A7F">
        <w:tc>
          <w:tcPr>
            <w:tcW w:w="10420" w:type="dxa"/>
            <w:shd w:val="clear" w:color="auto" w:fill="auto"/>
          </w:tcPr>
          <w:p w14:paraId="19BFF8DA" w14:textId="77777777" w:rsidR="00FE26C8" w:rsidRPr="00FE26C8" w:rsidRDefault="00FE26C8" w:rsidP="00FE26C8">
            <w:pPr>
              <w:spacing w:after="0" w:line="240" w:lineRule="auto"/>
              <w:rPr>
                <w:rFonts w:eastAsia="Times New Roman" w:cs="Arial"/>
                <w:sz w:val="40"/>
                <w:szCs w:val="40"/>
                <w:lang w:val="en-US"/>
              </w:rPr>
            </w:pPr>
            <w:r w:rsidRPr="00FE26C8">
              <w:rPr>
                <w:rFonts w:eastAsia="Times New Roman" w:cs="Arial"/>
                <w:sz w:val="40"/>
                <w:szCs w:val="40"/>
                <w:lang w:val="en-US"/>
              </w:rPr>
              <w:t>Document Type: Policy</w:t>
            </w:r>
          </w:p>
        </w:tc>
      </w:tr>
      <w:tr w:rsidR="00FE26C8" w:rsidRPr="00FE26C8" w14:paraId="7E600531" w14:textId="77777777" w:rsidTr="00584A7F">
        <w:tc>
          <w:tcPr>
            <w:tcW w:w="10420" w:type="dxa"/>
            <w:shd w:val="clear" w:color="auto" w:fill="auto"/>
          </w:tcPr>
          <w:p w14:paraId="307E751F" w14:textId="77777777" w:rsidR="00FE26C8" w:rsidRPr="00FE26C8" w:rsidRDefault="00FE26C8" w:rsidP="00FE26C8">
            <w:pPr>
              <w:spacing w:after="0" w:line="240" w:lineRule="auto"/>
              <w:rPr>
                <w:rFonts w:eastAsia="Times New Roman" w:cs="Arial"/>
                <w:sz w:val="40"/>
                <w:szCs w:val="40"/>
                <w:lang w:val="en-US"/>
              </w:rPr>
            </w:pPr>
            <w:r w:rsidRPr="00FE26C8">
              <w:rPr>
                <w:rFonts w:eastAsia="Times New Roman" w:cs="Arial"/>
                <w:sz w:val="40"/>
                <w:szCs w:val="40"/>
                <w:lang w:val="en-US"/>
              </w:rPr>
              <w:t>Document name: Open Data</w:t>
            </w:r>
          </w:p>
        </w:tc>
      </w:tr>
      <w:tr w:rsidR="00FE26C8" w:rsidRPr="00FE26C8" w14:paraId="4F61F401" w14:textId="77777777" w:rsidTr="00584A7F">
        <w:tc>
          <w:tcPr>
            <w:tcW w:w="10420" w:type="dxa"/>
            <w:shd w:val="clear" w:color="auto" w:fill="auto"/>
          </w:tcPr>
          <w:p w14:paraId="44B42E53" w14:textId="77777777" w:rsidR="00FE26C8" w:rsidRPr="00FE26C8" w:rsidRDefault="00FE26C8" w:rsidP="00FE26C8">
            <w:pPr>
              <w:spacing w:after="0" w:line="240" w:lineRule="auto"/>
              <w:rPr>
                <w:rFonts w:eastAsia="Times New Roman" w:cs="Arial"/>
                <w:sz w:val="40"/>
                <w:szCs w:val="40"/>
                <w:lang w:val="en-US"/>
              </w:rPr>
            </w:pPr>
            <w:r w:rsidRPr="00FE26C8">
              <w:rPr>
                <w:rFonts w:eastAsia="Times New Roman" w:cs="Arial"/>
                <w:sz w:val="40"/>
                <w:szCs w:val="40"/>
                <w:lang w:val="en-US"/>
              </w:rPr>
              <w:t>Document overview: GiGL’s position on open data</w:t>
            </w:r>
          </w:p>
        </w:tc>
      </w:tr>
      <w:tr w:rsidR="00FE26C8" w:rsidRPr="00FE26C8" w14:paraId="0C44E2CD" w14:textId="77777777" w:rsidTr="00584A7F">
        <w:tc>
          <w:tcPr>
            <w:tcW w:w="10420" w:type="dxa"/>
            <w:shd w:val="clear" w:color="auto" w:fill="auto"/>
          </w:tcPr>
          <w:p w14:paraId="7BDA99A2" w14:textId="77777777" w:rsidR="00FE26C8" w:rsidRPr="00FE26C8" w:rsidRDefault="00FE26C8" w:rsidP="00FE26C8">
            <w:pPr>
              <w:spacing w:after="0" w:line="240" w:lineRule="auto"/>
              <w:rPr>
                <w:rFonts w:eastAsia="Times New Roman" w:cs="Arial"/>
                <w:sz w:val="40"/>
                <w:szCs w:val="40"/>
                <w:lang w:val="en-US"/>
              </w:rPr>
            </w:pPr>
            <w:r w:rsidRPr="00FE26C8">
              <w:rPr>
                <w:rFonts w:eastAsia="Times New Roman" w:cs="Arial"/>
                <w:sz w:val="40"/>
                <w:szCs w:val="40"/>
                <w:lang w:val="en-US"/>
              </w:rPr>
              <w:t>Related documents:</w:t>
            </w:r>
          </w:p>
        </w:tc>
      </w:tr>
    </w:tbl>
    <w:p w14:paraId="49BD8B31" w14:textId="77777777" w:rsidR="00FE26C8" w:rsidRPr="00FE26C8" w:rsidRDefault="00FE26C8" w:rsidP="00FE26C8">
      <w:pPr>
        <w:spacing w:line="240" w:lineRule="auto"/>
        <w:rPr>
          <w:rFonts w:eastAsia="Times New Roman" w:cs="Arial"/>
          <w:sz w:val="24"/>
          <w:szCs w:val="24"/>
          <w:lang w:val="en-US"/>
        </w:rPr>
      </w:pPr>
    </w:p>
    <w:p w14:paraId="0791C3E6" w14:textId="77777777" w:rsidR="00FE26C8" w:rsidRPr="00FE26C8" w:rsidRDefault="00FE26C8" w:rsidP="00FE26C8">
      <w:pPr>
        <w:spacing w:line="240" w:lineRule="auto"/>
        <w:rPr>
          <w:rFonts w:eastAsia="Times New Roman" w:cs="Arial"/>
          <w:sz w:val="24"/>
          <w:szCs w:val="24"/>
          <w:lang w:val="en-US"/>
        </w:rPr>
      </w:pPr>
    </w:p>
    <w:p w14:paraId="7E151402" w14:textId="77777777" w:rsidR="00FE26C8" w:rsidRPr="00FE26C8" w:rsidRDefault="00FE26C8" w:rsidP="00FE26C8">
      <w:pPr>
        <w:spacing w:line="240" w:lineRule="auto"/>
        <w:rPr>
          <w:rFonts w:eastAsia="Times New Roman" w:cs="Arial"/>
          <w:sz w:val="24"/>
          <w:szCs w:val="24"/>
          <w:lang w:val="en-US"/>
        </w:rPr>
      </w:pPr>
    </w:p>
    <w:p w14:paraId="09AD9F8B" w14:textId="77777777" w:rsidR="00FE26C8" w:rsidRPr="00FE26C8" w:rsidRDefault="00FE26C8" w:rsidP="00FE26C8">
      <w:pPr>
        <w:spacing w:line="240" w:lineRule="auto"/>
        <w:rPr>
          <w:rFonts w:eastAsia="Times New Roman" w:cs="Arial"/>
          <w:sz w:val="24"/>
          <w:szCs w:val="24"/>
          <w:lang w:val="en-US"/>
        </w:rPr>
      </w:pPr>
    </w:p>
    <w:p w14:paraId="64CE5310" w14:textId="77777777" w:rsidR="00FE26C8" w:rsidRPr="00FE26C8" w:rsidRDefault="00FE26C8" w:rsidP="00FE26C8">
      <w:pPr>
        <w:spacing w:line="240" w:lineRule="auto"/>
        <w:rPr>
          <w:rFonts w:eastAsia="Times New Roman" w:cs="Arial"/>
          <w:sz w:val="24"/>
          <w:szCs w:val="24"/>
          <w:lang w:val="en-US"/>
        </w:rPr>
      </w:pPr>
    </w:p>
    <w:p w14:paraId="5A557629" w14:textId="77777777" w:rsidR="00FE26C8" w:rsidRPr="00FE26C8" w:rsidRDefault="00FE26C8" w:rsidP="00FE26C8">
      <w:pPr>
        <w:spacing w:line="240" w:lineRule="auto"/>
        <w:rPr>
          <w:rFonts w:eastAsia="Times New Roman" w:cs="Arial"/>
          <w:sz w:val="24"/>
          <w:szCs w:val="24"/>
          <w:lang w:val="en-US"/>
        </w:rPr>
      </w:pPr>
    </w:p>
    <w:p w14:paraId="1BA2EB92" w14:textId="77777777" w:rsidR="00FE26C8" w:rsidRPr="00FE26C8" w:rsidRDefault="00FE26C8" w:rsidP="00FE26C8">
      <w:pPr>
        <w:spacing w:line="240" w:lineRule="auto"/>
        <w:rPr>
          <w:rFonts w:eastAsia="Times New Roman" w:cs="Arial"/>
          <w:sz w:val="24"/>
          <w:szCs w:val="24"/>
          <w:lang w:val="en-US"/>
        </w:rPr>
      </w:pPr>
    </w:p>
    <w:p w14:paraId="5434105C" w14:textId="77777777" w:rsidR="00FE26C8" w:rsidRPr="00FE26C8" w:rsidRDefault="00FE26C8" w:rsidP="00FE26C8">
      <w:pPr>
        <w:spacing w:line="240" w:lineRule="auto"/>
        <w:rPr>
          <w:rFonts w:eastAsia="Times New Roman" w:cs="Arial"/>
          <w:sz w:val="24"/>
          <w:szCs w:val="24"/>
          <w:lang w:val="en-US"/>
        </w:rPr>
      </w:pPr>
    </w:p>
    <w:p w14:paraId="6C648ED5" w14:textId="77777777" w:rsidR="00FE26C8" w:rsidRPr="00FE26C8" w:rsidRDefault="00FE26C8" w:rsidP="00FE26C8">
      <w:pPr>
        <w:spacing w:line="240" w:lineRule="auto"/>
        <w:rPr>
          <w:rFonts w:eastAsia="Times New Roman" w:cs="Arial"/>
          <w:sz w:val="24"/>
          <w:szCs w:val="24"/>
          <w:lang w:val="en-US"/>
        </w:rPr>
      </w:pPr>
    </w:p>
    <w:p w14:paraId="68C8736B" w14:textId="77777777" w:rsidR="00FE26C8" w:rsidRPr="00FE26C8" w:rsidRDefault="00FE26C8" w:rsidP="00FE26C8">
      <w:pPr>
        <w:spacing w:line="240" w:lineRule="auto"/>
        <w:rPr>
          <w:rFonts w:eastAsia="Times New Roman" w:cs="Arial"/>
          <w:sz w:val="24"/>
          <w:szCs w:val="24"/>
          <w:lang w:val="en-US"/>
        </w:rPr>
      </w:pPr>
    </w:p>
    <w:p w14:paraId="6D00BB64" w14:textId="77777777" w:rsidR="00FE26C8" w:rsidRPr="00FE26C8" w:rsidRDefault="00FE26C8" w:rsidP="00FE26C8">
      <w:pPr>
        <w:spacing w:line="240" w:lineRule="auto"/>
        <w:rPr>
          <w:rFonts w:eastAsia="Times New Roman" w:cs="Arial"/>
          <w:sz w:val="24"/>
          <w:szCs w:val="24"/>
          <w:lang w:val="en-US"/>
        </w:rPr>
      </w:pPr>
    </w:p>
    <w:p w14:paraId="5021DE44" w14:textId="77777777" w:rsidR="00FE26C8" w:rsidRPr="00FE26C8" w:rsidRDefault="00FE26C8" w:rsidP="00FE26C8">
      <w:pPr>
        <w:spacing w:line="240" w:lineRule="auto"/>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5074"/>
      </w:tblGrid>
      <w:tr w:rsidR="00FE26C8" w:rsidRPr="00FE26C8" w14:paraId="7CBA7525" w14:textId="77777777" w:rsidTr="00584A7F">
        <w:tc>
          <w:tcPr>
            <w:tcW w:w="1708" w:type="dxa"/>
            <w:shd w:val="clear" w:color="auto" w:fill="auto"/>
          </w:tcPr>
          <w:p w14:paraId="3E58C91E"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Issue Date</w:t>
            </w:r>
          </w:p>
        </w:tc>
        <w:tc>
          <w:tcPr>
            <w:tcW w:w="5074" w:type="dxa"/>
            <w:shd w:val="clear" w:color="auto" w:fill="auto"/>
          </w:tcPr>
          <w:p w14:paraId="6F286BBF"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18/08/2022</w:t>
            </w:r>
          </w:p>
        </w:tc>
      </w:tr>
      <w:tr w:rsidR="00FE26C8" w:rsidRPr="00FE26C8" w14:paraId="31E67CC3" w14:textId="77777777" w:rsidTr="00584A7F">
        <w:tc>
          <w:tcPr>
            <w:tcW w:w="1708" w:type="dxa"/>
            <w:shd w:val="clear" w:color="auto" w:fill="auto"/>
          </w:tcPr>
          <w:p w14:paraId="182D08E6"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Review Date</w:t>
            </w:r>
          </w:p>
        </w:tc>
        <w:tc>
          <w:tcPr>
            <w:tcW w:w="5074" w:type="dxa"/>
            <w:shd w:val="clear" w:color="auto" w:fill="auto"/>
          </w:tcPr>
          <w:p w14:paraId="12BB2E28"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As and when needed</w:t>
            </w:r>
          </w:p>
        </w:tc>
      </w:tr>
      <w:tr w:rsidR="00FE26C8" w:rsidRPr="00FE26C8" w14:paraId="34279BF5" w14:textId="77777777" w:rsidTr="00584A7F">
        <w:tc>
          <w:tcPr>
            <w:tcW w:w="1708" w:type="dxa"/>
            <w:shd w:val="clear" w:color="auto" w:fill="auto"/>
          </w:tcPr>
          <w:p w14:paraId="724D2293"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Issue Number</w:t>
            </w:r>
          </w:p>
        </w:tc>
        <w:tc>
          <w:tcPr>
            <w:tcW w:w="5074" w:type="dxa"/>
            <w:shd w:val="clear" w:color="auto" w:fill="auto"/>
          </w:tcPr>
          <w:p w14:paraId="14344429"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1</w:t>
            </w:r>
          </w:p>
        </w:tc>
      </w:tr>
      <w:tr w:rsidR="00FE26C8" w:rsidRPr="00FE26C8" w14:paraId="14EB5BB5" w14:textId="77777777" w:rsidTr="00584A7F">
        <w:tc>
          <w:tcPr>
            <w:tcW w:w="1708" w:type="dxa"/>
            <w:shd w:val="clear" w:color="auto" w:fill="auto"/>
          </w:tcPr>
          <w:p w14:paraId="6E96CF48"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Author</w:t>
            </w:r>
          </w:p>
        </w:tc>
        <w:tc>
          <w:tcPr>
            <w:tcW w:w="5074" w:type="dxa"/>
            <w:shd w:val="clear" w:color="auto" w:fill="auto"/>
          </w:tcPr>
          <w:p w14:paraId="2A9AEFB9" w14:textId="77777777" w:rsidR="00FE26C8" w:rsidRPr="00FE26C8" w:rsidRDefault="00FE26C8" w:rsidP="00FE26C8">
            <w:pPr>
              <w:spacing w:after="0" w:line="240" w:lineRule="auto"/>
              <w:rPr>
                <w:rFonts w:eastAsia="Times New Roman" w:cs="Arial"/>
                <w:sz w:val="24"/>
                <w:szCs w:val="24"/>
                <w:lang w:val="en-US"/>
              </w:rPr>
            </w:pPr>
            <w:r w:rsidRPr="00FE26C8">
              <w:rPr>
                <w:rFonts w:eastAsia="Times New Roman" w:cs="Arial"/>
                <w:sz w:val="24"/>
                <w:szCs w:val="24"/>
                <w:lang w:val="en-US"/>
              </w:rPr>
              <w:t>Mandy Rudd</w:t>
            </w:r>
          </w:p>
        </w:tc>
      </w:tr>
    </w:tbl>
    <w:p w14:paraId="2429FDE1" w14:textId="77777777" w:rsidR="00FE26C8" w:rsidRPr="00FE26C8" w:rsidRDefault="00FE26C8" w:rsidP="00486686">
      <w:pPr>
        <w:pStyle w:val="Heading1"/>
      </w:pPr>
      <w:r w:rsidRPr="00FE26C8">
        <w:br w:type="page"/>
      </w:r>
      <w:r w:rsidRPr="00FE26C8">
        <w:lastRenderedPageBreak/>
        <w:t>Policy Statement</w:t>
      </w:r>
    </w:p>
    <w:p w14:paraId="0B405DDB"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We publish discovery datasets using open data licences that both improve consumers’ understanding of London’s natural environment and raise the profile of our services. The open datasets are blurred spatially, restricted temporally, or are less detailed than the high quality shared datasets that underpin our services. We do not publish open data without express permission from the data owners, and notify all partners of open data publication as part of our ongoing services.</w:t>
      </w:r>
    </w:p>
    <w:p w14:paraId="3F5D59B9" w14:textId="77777777" w:rsidR="00FE26C8" w:rsidRPr="00FE26C8" w:rsidRDefault="00FE26C8" w:rsidP="00FE26C8">
      <w:pPr>
        <w:spacing w:after="0" w:line="240" w:lineRule="auto"/>
        <w:jc w:val="both"/>
        <w:rPr>
          <w:rFonts w:eastAsia="Times New Roman" w:cs="Arial"/>
          <w:color w:val="25282A"/>
          <w:szCs w:val="24"/>
          <w:lang w:val="en-US"/>
        </w:rPr>
      </w:pPr>
    </w:p>
    <w:p w14:paraId="1152FDE3" w14:textId="6329C728" w:rsidR="00FE26C8" w:rsidRPr="00FE26C8" w:rsidRDefault="00FE26C8" w:rsidP="00486686">
      <w:pPr>
        <w:pStyle w:val="Heading1"/>
      </w:pPr>
      <w:r w:rsidRPr="00486686">
        <w:t>Definitions</w:t>
      </w:r>
    </w:p>
    <w:p w14:paraId="37E2A97C" w14:textId="77777777" w:rsidR="00FE26C8" w:rsidRPr="00FE26C8" w:rsidRDefault="00FE26C8" w:rsidP="00FE26C8">
      <w:pPr>
        <w:numPr>
          <w:ilvl w:val="0"/>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 xml:space="preserve">Open data - the Open Data Institute (ODI) define open data as “data that anyone can access, use or share”. </w:t>
      </w:r>
    </w:p>
    <w:p w14:paraId="0D8CC07C" w14:textId="77777777" w:rsidR="00FE26C8" w:rsidRPr="00FE26C8" w:rsidRDefault="00FE26C8" w:rsidP="00FE26C8">
      <w:pPr>
        <w:numPr>
          <w:ilvl w:val="0"/>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Shared data – the ODI data spectrum sets out 3 mechanisms for sharing data:</w:t>
      </w:r>
    </w:p>
    <w:p w14:paraId="6BC0FEA1" w14:textId="77777777" w:rsidR="00FE26C8" w:rsidRPr="00FE26C8" w:rsidRDefault="00FE26C8" w:rsidP="00FE26C8">
      <w:pPr>
        <w:numPr>
          <w:ilvl w:val="1"/>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named access - explicitly assigned by contract</w:t>
      </w:r>
    </w:p>
    <w:p w14:paraId="65F55F6C" w14:textId="77777777" w:rsidR="00FE26C8" w:rsidRPr="00FE26C8" w:rsidRDefault="00FE26C8" w:rsidP="00FE26C8">
      <w:pPr>
        <w:numPr>
          <w:ilvl w:val="1"/>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group-based access - enabled via authentication</w:t>
      </w:r>
    </w:p>
    <w:p w14:paraId="115A92AC" w14:textId="77777777" w:rsidR="00FE26C8" w:rsidRPr="00FE26C8" w:rsidRDefault="00FE26C8" w:rsidP="00FE26C8">
      <w:pPr>
        <w:numPr>
          <w:ilvl w:val="1"/>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public access - published under a licence such as CC-BY-NC (Creative Commons Attribution Non-Commercial) that only allows consumption for non-commercial use.</w:t>
      </w:r>
    </w:p>
    <w:p w14:paraId="5AB97B31" w14:textId="77777777" w:rsidR="00FE26C8" w:rsidRPr="00FE26C8" w:rsidRDefault="00FE26C8" w:rsidP="00FE26C8">
      <w:pPr>
        <w:numPr>
          <w:ilvl w:val="0"/>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Open data licences – these place very few restrictions on consumers of open data, who are permitted to republish the data, including for a fee, and sell products based on them. The licences we use, commonly known by their acronym, are the OGL (open government licence) and CC-BY (Creative Commons Attribution licence). The only restriction placed on consumers by these licences is that they must give attribution to GiGL as the source of the data.</w:t>
      </w:r>
    </w:p>
    <w:p w14:paraId="18B7F52C" w14:textId="77777777" w:rsidR="00FE26C8" w:rsidRPr="00FE26C8" w:rsidRDefault="00FE26C8" w:rsidP="00FE26C8">
      <w:pPr>
        <w:numPr>
          <w:ilvl w:val="0"/>
          <w:numId w:val="4"/>
        </w:numPr>
        <w:spacing w:after="0" w:line="240" w:lineRule="auto"/>
        <w:contextualSpacing/>
        <w:jc w:val="both"/>
        <w:rPr>
          <w:rFonts w:eastAsia="Times New Roman" w:cs="Arial"/>
          <w:color w:val="25282A"/>
          <w:szCs w:val="24"/>
          <w:lang w:val="en-US"/>
        </w:rPr>
      </w:pPr>
      <w:r w:rsidRPr="00FE26C8">
        <w:rPr>
          <w:rFonts w:eastAsia="Times New Roman" w:cs="Arial"/>
          <w:color w:val="25282A"/>
          <w:szCs w:val="24"/>
          <w:lang w:val="en-US"/>
        </w:rPr>
        <w:t xml:space="preserve">Discovery dataset - </w:t>
      </w:r>
      <w:r w:rsidRPr="00FE26C8">
        <w:rPr>
          <w:rFonts w:eastAsia="Times New Roman" w:cs="Arial"/>
          <w:color w:val="25282A"/>
          <w:lang w:val="en-US"/>
        </w:rPr>
        <w:t>a</w:t>
      </w:r>
      <w:r w:rsidRPr="00FE26C8">
        <w:rPr>
          <w:rFonts w:eastAsia="Times New Roman" w:cs="Arial"/>
        </w:rPr>
        <w:t xml:space="preserve"> subset of a larger, more detailed dataset intended to raise awareness of the data subject and signpost open data consumers to related GiGL services</w:t>
      </w:r>
    </w:p>
    <w:p w14:paraId="644561D0" w14:textId="77777777" w:rsidR="00FE26C8" w:rsidRPr="00FE26C8" w:rsidRDefault="00FE26C8" w:rsidP="00FE26C8">
      <w:pPr>
        <w:spacing w:after="0" w:line="240" w:lineRule="auto"/>
        <w:jc w:val="both"/>
        <w:rPr>
          <w:rFonts w:eastAsia="Times New Roman" w:cs="Arial"/>
          <w:color w:val="25282A"/>
          <w:szCs w:val="24"/>
          <w:lang w:val="en-US"/>
        </w:rPr>
      </w:pPr>
    </w:p>
    <w:p w14:paraId="581E965C" w14:textId="6AEE83A6" w:rsidR="00FE26C8" w:rsidRPr="00FE26C8" w:rsidRDefault="00FE26C8" w:rsidP="00486686">
      <w:pPr>
        <w:pStyle w:val="Heading1"/>
      </w:pPr>
      <w:r w:rsidRPr="00FE26C8">
        <w:t>GiGL Partnership Datasets</w:t>
      </w:r>
    </w:p>
    <w:p w14:paraId="287B33B2"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 xml:space="preserve">There is an overview of the current open datasets that we have published on our website, and more comprehensive information about each of the datasets is contained in the GiGL data guide. It includes information regarding how each open dataset relates to the shared dataset it was derived from, and details of the data update schedule. </w:t>
      </w:r>
    </w:p>
    <w:p w14:paraId="197AF933" w14:textId="77777777" w:rsidR="00FE26C8" w:rsidRPr="00FE26C8" w:rsidRDefault="00FE26C8" w:rsidP="00FE26C8">
      <w:pPr>
        <w:spacing w:after="0" w:line="240" w:lineRule="auto"/>
        <w:jc w:val="both"/>
        <w:rPr>
          <w:rFonts w:eastAsia="Times New Roman" w:cs="Arial"/>
          <w:color w:val="25282A"/>
          <w:szCs w:val="24"/>
          <w:lang w:val="en-US"/>
        </w:rPr>
      </w:pPr>
    </w:p>
    <w:p w14:paraId="1DB6E296"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We will continue to explore the benefits of publishing discovery datasets representing metadata and our core datasets with the data owners and our advisors.</w:t>
      </w:r>
    </w:p>
    <w:p w14:paraId="0C1F4BCB" w14:textId="77777777" w:rsidR="00FE26C8" w:rsidRPr="00FE26C8" w:rsidRDefault="00FE26C8" w:rsidP="00FE26C8">
      <w:pPr>
        <w:spacing w:after="0" w:line="240" w:lineRule="auto"/>
        <w:jc w:val="both"/>
        <w:rPr>
          <w:rFonts w:eastAsia="Times New Roman" w:cs="Arial"/>
          <w:color w:val="25282A"/>
          <w:szCs w:val="24"/>
          <w:lang w:val="en-US"/>
        </w:rPr>
      </w:pPr>
    </w:p>
    <w:p w14:paraId="74953F03" w14:textId="5231CBA0" w:rsidR="00FE26C8" w:rsidRPr="00FE26C8" w:rsidRDefault="00FE26C8" w:rsidP="00486686">
      <w:pPr>
        <w:pStyle w:val="Heading1"/>
      </w:pPr>
      <w:r w:rsidRPr="00FE26C8">
        <w:t>Data platforms</w:t>
      </w:r>
    </w:p>
    <w:p w14:paraId="1C9F5DCA"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We will publish data via local and national open data platforms, and will provide links to these resources via our website and data guide</w:t>
      </w:r>
    </w:p>
    <w:p w14:paraId="28DDC010" w14:textId="77777777" w:rsidR="00FE26C8" w:rsidRPr="00FE26C8" w:rsidRDefault="00FE26C8" w:rsidP="00FE26C8">
      <w:pPr>
        <w:spacing w:after="0" w:line="240" w:lineRule="auto"/>
        <w:jc w:val="both"/>
        <w:rPr>
          <w:rFonts w:eastAsia="Times New Roman" w:cs="Arial"/>
          <w:color w:val="25282A"/>
          <w:szCs w:val="24"/>
          <w:lang w:val="en-US"/>
        </w:rPr>
      </w:pPr>
    </w:p>
    <w:p w14:paraId="3C9B413C" w14:textId="47588378" w:rsidR="00FE26C8" w:rsidRPr="00FE26C8" w:rsidRDefault="00FE26C8" w:rsidP="00486686">
      <w:pPr>
        <w:pStyle w:val="Heading1"/>
      </w:pPr>
      <w:r w:rsidRPr="00FE26C8">
        <w:t>Utilising open and shared data</w:t>
      </w:r>
    </w:p>
    <w:p w14:paraId="2B226008"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 xml:space="preserve">Although we are a not-for-profit social enterprise we are considered a commercial user of data, so we are not permitted to consume shared data published under a CC-BY-NC licence. We will approach data owners whose data would be useful to our stakeholders to seek permission to use them in our services via a different licence or data exchange agreement. </w:t>
      </w:r>
    </w:p>
    <w:p w14:paraId="60CAE673" w14:textId="77777777" w:rsidR="00FE26C8" w:rsidRPr="00FE26C8" w:rsidRDefault="00FE26C8" w:rsidP="00FE26C8">
      <w:pPr>
        <w:spacing w:after="0" w:line="240" w:lineRule="auto"/>
        <w:jc w:val="both"/>
        <w:rPr>
          <w:rFonts w:eastAsia="Times New Roman" w:cs="Arial"/>
          <w:color w:val="25282A"/>
          <w:szCs w:val="24"/>
          <w:lang w:val="en-US"/>
        </w:rPr>
      </w:pPr>
    </w:p>
    <w:p w14:paraId="62F7B7EC"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We will ensure that we incorporate high quality open data published under the OGL and CC-BY licences into our services on behalf of our stakeholders. The suitability of datasets will be assessed on an ongoing basis based on the national standards that we work to.</w:t>
      </w:r>
    </w:p>
    <w:p w14:paraId="5457B306" w14:textId="77777777" w:rsidR="00FE26C8" w:rsidRPr="00FE26C8" w:rsidRDefault="00FE26C8" w:rsidP="00FE26C8">
      <w:pPr>
        <w:spacing w:after="0" w:line="240" w:lineRule="auto"/>
        <w:jc w:val="both"/>
        <w:rPr>
          <w:rFonts w:eastAsia="Times New Roman" w:cs="Arial"/>
          <w:b/>
          <w:color w:val="25282A"/>
          <w:szCs w:val="24"/>
          <w:lang w:val="en-US"/>
        </w:rPr>
      </w:pPr>
    </w:p>
    <w:p w14:paraId="437BC24C" w14:textId="2BDE3CFF" w:rsidR="00FE26C8" w:rsidRPr="00FE26C8" w:rsidRDefault="00FE26C8" w:rsidP="00486686">
      <w:pPr>
        <w:pStyle w:val="Heading1"/>
      </w:pPr>
      <w:r w:rsidRPr="00FE26C8">
        <w:t xml:space="preserve">Our </w:t>
      </w:r>
      <w:r w:rsidR="00486686">
        <w:t>community</w:t>
      </w:r>
      <w:r w:rsidRPr="00FE26C8">
        <w:t xml:space="preserve"> and professional networks</w:t>
      </w:r>
    </w:p>
    <w:p w14:paraId="7DD9C4A2" w14:textId="77777777" w:rsidR="00FE26C8" w:rsidRPr="00FE26C8" w:rsidRDefault="00FE26C8" w:rsidP="00FE26C8">
      <w:pPr>
        <w:spacing w:after="0" w:line="240" w:lineRule="auto"/>
        <w:jc w:val="both"/>
        <w:rPr>
          <w:rFonts w:eastAsia="Times New Roman" w:cs="Arial"/>
          <w:color w:val="25282A"/>
          <w:szCs w:val="24"/>
          <w:lang w:val="en-US"/>
        </w:rPr>
      </w:pPr>
    </w:p>
    <w:p w14:paraId="265971B1"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lastRenderedPageBreak/>
        <w:t>We will meet annually with key data providers to update them on open data-related activity in our sector, to ensure we are representing their interests, and to feedback on key performance indicators around the provision and consumption of open data.</w:t>
      </w:r>
    </w:p>
    <w:p w14:paraId="506B4A13" w14:textId="77777777" w:rsidR="00FE26C8" w:rsidRPr="00FE26C8" w:rsidRDefault="00FE26C8" w:rsidP="00FE26C8">
      <w:pPr>
        <w:spacing w:after="0" w:line="240" w:lineRule="auto"/>
        <w:jc w:val="both"/>
        <w:rPr>
          <w:rFonts w:eastAsia="Times New Roman" w:cs="Arial"/>
          <w:color w:val="25282A"/>
          <w:szCs w:val="24"/>
          <w:lang w:val="en-US"/>
        </w:rPr>
      </w:pPr>
    </w:p>
    <w:p w14:paraId="3F058C46" w14:textId="77777777"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 xml:space="preserve">We will work with the Association of Local Environmental Records Centres (ALERC) and National Biodiversity Network Trust (NBNT) to embrace the opportunities open data presents to local environmental records centres, and to ensure consumers of open data are aware of the costs associated with their production. </w:t>
      </w:r>
    </w:p>
    <w:p w14:paraId="52E33D4F" w14:textId="77777777" w:rsidR="00FE26C8" w:rsidRPr="00FE26C8" w:rsidRDefault="00FE26C8" w:rsidP="00FE26C8">
      <w:pPr>
        <w:spacing w:after="0" w:line="240" w:lineRule="auto"/>
        <w:jc w:val="both"/>
        <w:rPr>
          <w:rFonts w:eastAsia="Times New Roman" w:cs="Arial"/>
          <w:color w:val="25282A"/>
          <w:szCs w:val="24"/>
          <w:lang w:val="en-US"/>
        </w:rPr>
      </w:pPr>
    </w:p>
    <w:p w14:paraId="72B3DE68" w14:textId="681D2EBB" w:rsidR="00FE26C8" w:rsidRPr="00FE26C8" w:rsidRDefault="00FE26C8" w:rsidP="00FE26C8">
      <w:pPr>
        <w:spacing w:after="0" w:line="240" w:lineRule="auto"/>
        <w:jc w:val="both"/>
        <w:rPr>
          <w:rFonts w:eastAsia="Times New Roman" w:cs="Arial"/>
          <w:color w:val="25282A"/>
          <w:szCs w:val="24"/>
          <w:lang w:val="en-US"/>
        </w:rPr>
      </w:pPr>
      <w:r w:rsidRPr="00FE26C8">
        <w:rPr>
          <w:rFonts w:eastAsia="Times New Roman" w:cs="Arial"/>
          <w:color w:val="25282A"/>
          <w:szCs w:val="24"/>
          <w:lang w:val="en-US"/>
        </w:rPr>
        <w:t xml:space="preserve">We will continue to charge for our services per our charging policy to ensure the full costs of </w:t>
      </w:r>
      <w:r w:rsidR="00486686">
        <w:rPr>
          <w:rFonts w:eastAsia="Times New Roman" w:cs="Arial"/>
          <w:color w:val="25282A"/>
          <w:szCs w:val="24"/>
          <w:lang w:val="en-US"/>
        </w:rPr>
        <w:t>data stewardship</w:t>
      </w:r>
      <w:r w:rsidRPr="00FE26C8">
        <w:rPr>
          <w:rFonts w:eastAsia="Times New Roman" w:cs="Arial"/>
          <w:color w:val="25282A"/>
          <w:szCs w:val="24"/>
          <w:lang w:val="en-US"/>
        </w:rPr>
        <w:t xml:space="preserve"> are covered.</w:t>
      </w:r>
    </w:p>
    <w:p w14:paraId="6FF2766B" w14:textId="77777777" w:rsidR="005F0796" w:rsidRPr="001366ED" w:rsidRDefault="005F0796" w:rsidP="001366ED"/>
    <w:sectPr w:rsidR="005F0796" w:rsidRPr="001366ED" w:rsidSect="00AE633E">
      <w:headerReference w:type="default" r:id="rId7"/>
      <w:footerReference w:type="default" r:id="rId8"/>
      <w:headerReference w:type="first" r:id="rId9"/>
      <w:footerReference w:type="first" r:id="rId10"/>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F674" w14:textId="77777777" w:rsidR="00E06086" w:rsidRDefault="00E06086" w:rsidP="00E06086">
      <w:pPr>
        <w:spacing w:after="0" w:line="240" w:lineRule="auto"/>
      </w:pPr>
      <w:r>
        <w:separator/>
      </w:r>
    </w:p>
  </w:endnote>
  <w:endnote w:type="continuationSeparator" w:id="0">
    <w:p w14:paraId="3EFF9911" w14:textId="77777777" w:rsidR="00E06086" w:rsidRDefault="00E06086" w:rsidP="00E0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F9B7" w14:textId="77777777" w:rsidR="00E06086" w:rsidRDefault="00E06086" w:rsidP="00E06086">
    <w:pPr>
      <w:spacing w:after="0" w:line="240" w:lineRule="auto"/>
      <w:rPr>
        <w:rFonts w:cs="Arial"/>
        <w:color w:val="FAA41A"/>
        <w:sz w:val="12"/>
        <w:szCs w:val="16"/>
      </w:rPr>
    </w:pPr>
    <w:r>
      <w:rPr>
        <w:rFonts w:cs="Arial"/>
        <w:noProof/>
        <w:color w:val="FAA41A"/>
        <w:sz w:val="16"/>
        <w:szCs w:val="16"/>
        <w:lang w:eastAsia="en-GB"/>
      </w:rPr>
      <w:drawing>
        <wp:anchor distT="0" distB="0" distL="114300" distR="114300" simplePos="0" relativeHeight="251661312" behindDoc="0" locked="0" layoutInCell="1" allowOverlap="1" wp14:anchorId="531ADC7A" wp14:editId="48890864">
          <wp:simplePos x="0" y="0"/>
          <wp:positionH relativeFrom="margin">
            <wp:posOffset>3775710</wp:posOffset>
          </wp:positionH>
          <wp:positionV relativeFrom="paragraph">
            <wp:posOffset>63500</wp:posOffset>
          </wp:positionV>
          <wp:extent cx="2289204" cy="3105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tation Email Footer.jpg"/>
                  <pic:cNvPicPr/>
                </pic:nvPicPr>
                <pic:blipFill>
                  <a:blip r:embed="rId1">
                    <a:extLst>
                      <a:ext uri="{28A0092B-C50C-407E-A947-70E740481C1C}">
                        <a14:useLocalDpi xmlns:a14="http://schemas.microsoft.com/office/drawing/2010/main" val="0"/>
                      </a:ext>
                    </a:extLst>
                  </a:blip>
                  <a:stretch>
                    <a:fillRect/>
                  </a:stretch>
                </pic:blipFill>
                <pic:spPr>
                  <a:xfrm>
                    <a:off x="0" y="0"/>
                    <a:ext cx="2289204" cy="310551"/>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FAA41A"/>
        <w:sz w:val="16"/>
        <w:szCs w:val="16"/>
        <w:lang w:eastAsia="en-GB"/>
      </w:rPr>
      <w:drawing>
        <wp:anchor distT="0" distB="0" distL="114300" distR="114300" simplePos="0" relativeHeight="251657216" behindDoc="1" locked="0" layoutInCell="1" allowOverlap="1" wp14:anchorId="4C13B686" wp14:editId="2B4E167C">
          <wp:simplePos x="0" y="0"/>
          <wp:positionH relativeFrom="margin">
            <wp:posOffset>2934335</wp:posOffset>
          </wp:positionH>
          <wp:positionV relativeFrom="bottomMargin">
            <wp:posOffset>9525</wp:posOffset>
          </wp:positionV>
          <wp:extent cx="474453" cy="474453"/>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ForGoo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453" cy="474453"/>
                  </a:xfrm>
                  <a:prstGeom prst="rect">
                    <a:avLst/>
                  </a:prstGeom>
                </pic:spPr>
              </pic:pic>
            </a:graphicData>
          </a:graphic>
          <wp14:sizeRelH relativeFrom="margin">
            <wp14:pctWidth>0</wp14:pctWidth>
          </wp14:sizeRelH>
          <wp14:sizeRelV relativeFrom="margin">
            <wp14:pctHeight>0</wp14:pctHeight>
          </wp14:sizeRelV>
        </wp:anchor>
      </w:drawing>
    </w:r>
    <w:r w:rsidRPr="00B64FE2">
      <w:rPr>
        <w:rFonts w:cs="Arial"/>
        <w:color w:val="FAA41A"/>
        <w:sz w:val="12"/>
        <w:szCs w:val="16"/>
      </w:rPr>
      <w:t>Greenspace Information for Greater London</w:t>
    </w:r>
    <w:r>
      <w:rPr>
        <w:rFonts w:cs="Arial"/>
        <w:color w:val="FAA41A"/>
        <w:sz w:val="12"/>
        <w:szCs w:val="16"/>
      </w:rPr>
      <w:t xml:space="preserve"> CIC</w:t>
    </w:r>
    <w:r w:rsidRPr="00B64FE2">
      <w:rPr>
        <w:rFonts w:cs="Arial"/>
        <w:color w:val="FAA41A"/>
        <w:sz w:val="12"/>
        <w:szCs w:val="16"/>
      </w:rPr>
      <w:t xml:space="preserve"> is a community interest company</w:t>
    </w:r>
  </w:p>
  <w:p w14:paraId="5684E86D" w14:textId="77777777" w:rsidR="00E06086" w:rsidRPr="00FC56F8" w:rsidRDefault="00E06086" w:rsidP="00E06086">
    <w:pPr>
      <w:spacing w:after="0" w:line="240" w:lineRule="auto"/>
      <w:rPr>
        <w:color w:val="FAA41A"/>
        <w:sz w:val="16"/>
        <w:szCs w:val="16"/>
      </w:rPr>
    </w:pPr>
    <w:r w:rsidRPr="00B64FE2">
      <w:rPr>
        <w:rFonts w:cs="Arial"/>
        <w:color w:val="FAA41A"/>
        <w:sz w:val="12"/>
        <w:szCs w:val="16"/>
      </w:rPr>
      <w:t>limited by guarantee registered in England and Wales 8345552</w:t>
    </w:r>
    <w:r>
      <w:rPr>
        <w:rFonts w:cs="Arial"/>
        <w:color w:val="FAA41A"/>
        <w:sz w:val="16"/>
        <w:szCs w:val="16"/>
      </w:rPr>
      <w:t>.</w:t>
    </w:r>
  </w:p>
  <w:p w14:paraId="43D57CAF" w14:textId="77777777" w:rsidR="00E06086" w:rsidRDefault="00E06086" w:rsidP="00E06086">
    <w:pPr>
      <w:spacing w:after="0" w:line="240" w:lineRule="auto"/>
      <w:ind w:right="-46"/>
      <w:rPr>
        <w:rFonts w:cs="Arial"/>
        <w:color w:val="FAA41A"/>
        <w:sz w:val="12"/>
        <w:szCs w:val="16"/>
      </w:rPr>
    </w:pPr>
    <w:r w:rsidRPr="00B64FE2">
      <w:rPr>
        <w:rFonts w:cs="Arial"/>
        <w:color w:val="FAA41A"/>
        <w:sz w:val="12"/>
        <w:szCs w:val="16"/>
      </w:rPr>
      <w:t>Registered Address:  10 Queen Street Place, London, EC4R 1BE</w:t>
    </w:r>
  </w:p>
  <w:p w14:paraId="701D0C4E" w14:textId="77777777" w:rsidR="00E06086" w:rsidRPr="00822C58" w:rsidRDefault="00E06086" w:rsidP="00E06086">
    <w:pPr>
      <w:spacing w:after="0" w:line="240" w:lineRule="auto"/>
      <w:ind w:right="-46"/>
      <w:jc w:val="center"/>
      <w:rPr>
        <w:rFonts w:cs="Arial"/>
        <w:color w:val="FAA41A"/>
        <w:sz w:val="12"/>
        <w:szCs w:val="16"/>
      </w:rPr>
    </w:pPr>
  </w:p>
  <w:p w14:paraId="256DF829" w14:textId="77777777" w:rsidR="00E06086" w:rsidRDefault="00E0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8D33" w14:textId="77777777" w:rsidR="0053611D" w:rsidRDefault="0053611D" w:rsidP="0053611D">
    <w:pPr>
      <w:spacing w:after="0" w:line="240" w:lineRule="auto"/>
      <w:rPr>
        <w:rFonts w:cs="Arial"/>
        <w:color w:val="FAA41A"/>
        <w:sz w:val="12"/>
        <w:szCs w:val="16"/>
      </w:rPr>
    </w:pPr>
    <w:r>
      <w:rPr>
        <w:rFonts w:cs="Arial"/>
        <w:noProof/>
        <w:color w:val="FAA41A"/>
        <w:sz w:val="16"/>
        <w:szCs w:val="16"/>
        <w:lang w:eastAsia="en-GB"/>
      </w:rPr>
      <w:drawing>
        <wp:anchor distT="0" distB="0" distL="114300" distR="114300" simplePos="0" relativeHeight="251664384" behindDoc="0" locked="0" layoutInCell="1" allowOverlap="1" wp14:anchorId="6CC00D50" wp14:editId="1ECBAE1A">
          <wp:simplePos x="0" y="0"/>
          <wp:positionH relativeFrom="margin">
            <wp:posOffset>3775710</wp:posOffset>
          </wp:positionH>
          <wp:positionV relativeFrom="paragraph">
            <wp:posOffset>63500</wp:posOffset>
          </wp:positionV>
          <wp:extent cx="2289204" cy="310551"/>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tation Email Footer.jpg"/>
                  <pic:cNvPicPr/>
                </pic:nvPicPr>
                <pic:blipFill>
                  <a:blip r:embed="rId1">
                    <a:extLst>
                      <a:ext uri="{28A0092B-C50C-407E-A947-70E740481C1C}">
                        <a14:useLocalDpi xmlns:a14="http://schemas.microsoft.com/office/drawing/2010/main" val="0"/>
                      </a:ext>
                    </a:extLst>
                  </a:blip>
                  <a:stretch>
                    <a:fillRect/>
                  </a:stretch>
                </pic:blipFill>
                <pic:spPr>
                  <a:xfrm>
                    <a:off x="0" y="0"/>
                    <a:ext cx="2289204" cy="310551"/>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FAA41A"/>
        <w:sz w:val="16"/>
        <w:szCs w:val="16"/>
        <w:lang w:eastAsia="en-GB"/>
      </w:rPr>
      <w:drawing>
        <wp:anchor distT="0" distB="0" distL="114300" distR="114300" simplePos="0" relativeHeight="251663360" behindDoc="1" locked="0" layoutInCell="1" allowOverlap="1" wp14:anchorId="06E2CEA0" wp14:editId="461D85EC">
          <wp:simplePos x="0" y="0"/>
          <wp:positionH relativeFrom="margin">
            <wp:posOffset>2934335</wp:posOffset>
          </wp:positionH>
          <wp:positionV relativeFrom="bottomMargin">
            <wp:posOffset>9525</wp:posOffset>
          </wp:positionV>
          <wp:extent cx="474453" cy="474453"/>
          <wp:effectExtent l="0" t="0" r="1905" b="190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ForGoo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453" cy="474453"/>
                  </a:xfrm>
                  <a:prstGeom prst="rect">
                    <a:avLst/>
                  </a:prstGeom>
                </pic:spPr>
              </pic:pic>
            </a:graphicData>
          </a:graphic>
          <wp14:sizeRelH relativeFrom="margin">
            <wp14:pctWidth>0</wp14:pctWidth>
          </wp14:sizeRelH>
          <wp14:sizeRelV relativeFrom="margin">
            <wp14:pctHeight>0</wp14:pctHeight>
          </wp14:sizeRelV>
        </wp:anchor>
      </w:drawing>
    </w:r>
    <w:r w:rsidRPr="00B64FE2">
      <w:rPr>
        <w:rFonts w:cs="Arial"/>
        <w:color w:val="FAA41A"/>
        <w:sz w:val="12"/>
        <w:szCs w:val="16"/>
      </w:rPr>
      <w:t>Greenspace Information for Greater London</w:t>
    </w:r>
    <w:r>
      <w:rPr>
        <w:rFonts w:cs="Arial"/>
        <w:color w:val="FAA41A"/>
        <w:sz w:val="12"/>
        <w:szCs w:val="16"/>
      </w:rPr>
      <w:t xml:space="preserve"> CIC</w:t>
    </w:r>
    <w:r w:rsidRPr="00B64FE2">
      <w:rPr>
        <w:rFonts w:cs="Arial"/>
        <w:color w:val="FAA41A"/>
        <w:sz w:val="12"/>
        <w:szCs w:val="16"/>
      </w:rPr>
      <w:t xml:space="preserve"> is a community interest company</w:t>
    </w:r>
  </w:p>
  <w:p w14:paraId="7F38A993" w14:textId="77777777" w:rsidR="0053611D" w:rsidRPr="00FC56F8" w:rsidRDefault="0053611D" w:rsidP="0053611D">
    <w:pPr>
      <w:spacing w:after="0" w:line="240" w:lineRule="auto"/>
      <w:rPr>
        <w:color w:val="FAA41A"/>
        <w:sz w:val="16"/>
        <w:szCs w:val="16"/>
      </w:rPr>
    </w:pPr>
    <w:r w:rsidRPr="00B64FE2">
      <w:rPr>
        <w:rFonts w:cs="Arial"/>
        <w:color w:val="FAA41A"/>
        <w:sz w:val="12"/>
        <w:szCs w:val="16"/>
      </w:rPr>
      <w:t>limited by guarantee registered in England and Wales 8345552</w:t>
    </w:r>
    <w:r>
      <w:rPr>
        <w:rFonts w:cs="Arial"/>
        <w:color w:val="FAA41A"/>
        <w:sz w:val="16"/>
        <w:szCs w:val="16"/>
      </w:rPr>
      <w:t>.</w:t>
    </w:r>
  </w:p>
  <w:p w14:paraId="3BCE7A9E" w14:textId="77777777" w:rsidR="0053611D" w:rsidRPr="0053611D" w:rsidRDefault="0053611D" w:rsidP="0053611D">
    <w:pPr>
      <w:spacing w:after="0" w:line="240" w:lineRule="auto"/>
      <w:ind w:right="-46"/>
      <w:rPr>
        <w:rFonts w:cs="Arial"/>
        <w:color w:val="FAA41A"/>
        <w:sz w:val="12"/>
        <w:szCs w:val="16"/>
      </w:rPr>
    </w:pPr>
    <w:r w:rsidRPr="00B64FE2">
      <w:rPr>
        <w:rFonts w:cs="Arial"/>
        <w:color w:val="FAA41A"/>
        <w:sz w:val="12"/>
        <w:szCs w:val="16"/>
      </w:rPr>
      <w:t>Registered Address:  10 Queen Street Place, London, EC4R 1BE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CFC5" w14:textId="77777777" w:rsidR="00E06086" w:rsidRDefault="00E06086" w:rsidP="00E06086">
      <w:pPr>
        <w:spacing w:after="0" w:line="240" w:lineRule="auto"/>
      </w:pPr>
      <w:r>
        <w:separator/>
      </w:r>
    </w:p>
  </w:footnote>
  <w:footnote w:type="continuationSeparator" w:id="0">
    <w:p w14:paraId="19E25DCC" w14:textId="77777777" w:rsidR="00E06086" w:rsidRDefault="00E06086" w:rsidP="00E0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F441" w14:textId="77777777" w:rsidR="00E06086" w:rsidRDefault="00E06086" w:rsidP="004568E8">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A4D6" w14:textId="77777777" w:rsidR="00AE633E" w:rsidRDefault="00AE633E" w:rsidP="00AE633E">
    <w:pPr>
      <w:pStyle w:val="Header"/>
      <w:ind w:left="-1418"/>
    </w:pPr>
    <w:r>
      <w:rPr>
        <w:rFonts w:cs="Arial"/>
        <w:noProof/>
        <w:lang w:eastAsia="en-GB"/>
      </w:rPr>
      <w:drawing>
        <wp:inline distT="0" distB="0" distL="0" distR="0" wp14:anchorId="6DC16AC9" wp14:editId="302A95C2">
          <wp:extent cx="5731510" cy="12827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GLLogo2017_FINAL_full0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8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B37"/>
    <w:multiLevelType w:val="hybridMultilevel"/>
    <w:tmpl w:val="4E44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654A4"/>
    <w:multiLevelType w:val="hybridMultilevel"/>
    <w:tmpl w:val="CFE62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C35315"/>
    <w:multiLevelType w:val="hybridMultilevel"/>
    <w:tmpl w:val="39D40130"/>
    <w:lvl w:ilvl="0" w:tplc="DB8C0838">
      <w:start w:val="1"/>
      <w:numFmt w:val="bullet"/>
      <w:lvlText w:val="•"/>
      <w:lvlJc w:val="left"/>
      <w:pPr>
        <w:tabs>
          <w:tab w:val="num" w:pos="360"/>
        </w:tabs>
        <w:ind w:left="360" w:hanging="360"/>
      </w:pPr>
      <w:rPr>
        <w:rFonts w:ascii="Arial" w:hAnsi="Arial" w:hint="default"/>
      </w:rPr>
    </w:lvl>
    <w:lvl w:ilvl="1" w:tplc="86C0FCC0" w:tentative="1">
      <w:start w:val="1"/>
      <w:numFmt w:val="bullet"/>
      <w:lvlText w:val="•"/>
      <w:lvlJc w:val="left"/>
      <w:pPr>
        <w:tabs>
          <w:tab w:val="num" w:pos="1080"/>
        </w:tabs>
        <w:ind w:left="1080" w:hanging="360"/>
      </w:pPr>
      <w:rPr>
        <w:rFonts w:ascii="Arial" w:hAnsi="Arial" w:hint="default"/>
      </w:rPr>
    </w:lvl>
    <w:lvl w:ilvl="2" w:tplc="E5CAFFF8" w:tentative="1">
      <w:start w:val="1"/>
      <w:numFmt w:val="bullet"/>
      <w:lvlText w:val="•"/>
      <w:lvlJc w:val="left"/>
      <w:pPr>
        <w:tabs>
          <w:tab w:val="num" w:pos="1800"/>
        </w:tabs>
        <w:ind w:left="1800" w:hanging="360"/>
      </w:pPr>
      <w:rPr>
        <w:rFonts w:ascii="Arial" w:hAnsi="Arial" w:hint="default"/>
      </w:rPr>
    </w:lvl>
    <w:lvl w:ilvl="3" w:tplc="7F46037C" w:tentative="1">
      <w:start w:val="1"/>
      <w:numFmt w:val="bullet"/>
      <w:lvlText w:val="•"/>
      <w:lvlJc w:val="left"/>
      <w:pPr>
        <w:tabs>
          <w:tab w:val="num" w:pos="2520"/>
        </w:tabs>
        <w:ind w:left="2520" w:hanging="360"/>
      </w:pPr>
      <w:rPr>
        <w:rFonts w:ascii="Arial" w:hAnsi="Arial" w:hint="default"/>
      </w:rPr>
    </w:lvl>
    <w:lvl w:ilvl="4" w:tplc="0FBC1F12" w:tentative="1">
      <w:start w:val="1"/>
      <w:numFmt w:val="bullet"/>
      <w:lvlText w:val="•"/>
      <w:lvlJc w:val="left"/>
      <w:pPr>
        <w:tabs>
          <w:tab w:val="num" w:pos="3240"/>
        </w:tabs>
        <w:ind w:left="3240" w:hanging="360"/>
      </w:pPr>
      <w:rPr>
        <w:rFonts w:ascii="Arial" w:hAnsi="Arial" w:hint="default"/>
      </w:rPr>
    </w:lvl>
    <w:lvl w:ilvl="5" w:tplc="36FCD5E8" w:tentative="1">
      <w:start w:val="1"/>
      <w:numFmt w:val="bullet"/>
      <w:lvlText w:val="•"/>
      <w:lvlJc w:val="left"/>
      <w:pPr>
        <w:tabs>
          <w:tab w:val="num" w:pos="3960"/>
        </w:tabs>
        <w:ind w:left="3960" w:hanging="360"/>
      </w:pPr>
      <w:rPr>
        <w:rFonts w:ascii="Arial" w:hAnsi="Arial" w:hint="default"/>
      </w:rPr>
    </w:lvl>
    <w:lvl w:ilvl="6" w:tplc="CB3655D4" w:tentative="1">
      <w:start w:val="1"/>
      <w:numFmt w:val="bullet"/>
      <w:lvlText w:val="•"/>
      <w:lvlJc w:val="left"/>
      <w:pPr>
        <w:tabs>
          <w:tab w:val="num" w:pos="4680"/>
        </w:tabs>
        <w:ind w:left="4680" w:hanging="360"/>
      </w:pPr>
      <w:rPr>
        <w:rFonts w:ascii="Arial" w:hAnsi="Arial" w:hint="default"/>
      </w:rPr>
    </w:lvl>
    <w:lvl w:ilvl="7" w:tplc="16563906" w:tentative="1">
      <w:start w:val="1"/>
      <w:numFmt w:val="bullet"/>
      <w:lvlText w:val="•"/>
      <w:lvlJc w:val="left"/>
      <w:pPr>
        <w:tabs>
          <w:tab w:val="num" w:pos="5400"/>
        </w:tabs>
        <w:ind w:left="5400" w:hanging="360"/>
      </w:pPr>
      <w:rPr>
        <w:rFonts w:ascii="Arial" w:hAnsi="Arial" w:hint="default"/>
      </w:rPr>
    </w:lvl>
    <w:lvl w:ilvl="8" w:tplc="ED22B1E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7C020CC"/>
    <w:multiLevelType w:val="hybridMultilevel"/>
    <w:tmpl w:val="BE2C197C"/>
    <w:lvl w:ilvl="0" w:tplc="33522B5E">
      <w:start w:val="1"/>
      <w:numFmt w:val="bullet"/>
      <w:lvlText w:val="•"/>
      <w:lvlJc w:val="left"/>
      <w:pPr>
        <w:tabs>
          <w:tab w:val="num" w:pos="360"/>
        </w:tabs>
        <w:ind w:left="360" w:hanging="360"/>
      </w:pPr>
      <w:rPr>
        <w:rFonts w:ascii="Arial" w:hAnsi="Arial" w:hint="default"/>
      </w:rPr>
    </w:lvl>
    <w:lvl w:ilvl="1" w:tplc="FC362AF8">
      <w:start w:val="174"/>
      <w:numFmt w:val="bullet"/>
      <w:lvlText w:val="•"/>
      <w:lvlJc w:val="left"/>
      <w:pPr>
        <w:tabs>
          <w:tab w:val="num" w:pos="1080"/>
        </w:tabs>
        <w:ind w:left="1080" w:hanging="360"/>
      </w:pPr>
      <w:rPr>
        <w:rFonts w:ascii="Arial" w:hAnsi="Arial" w:hint="default"/>
      </w:rPr>
    </w:lvl>
    <w:lvl w:ilvl="2" w:tplc="DD9653CA" w:tentative="1">
      <w:start w:val="1"/>
      <w:numFmt w:val="bullet"/>
      <w:lvlText w:val="•"/>
      <w:lvlJc w:val="left"/>
      <w:pPr>
        <w:tabs>
          <w:tab w:val="num" w:pos="1800"/>
        </w:tabs>
        <w:ind w:left="1800" w:hanging="360"/>
      </w:pPr>
      <w:rPr>
        <w:rFonts w:ascii="Arial" w:hAnsi="Arial" w:hint="default"/>
      </w:rPr>
    </w:lvl>
    <w:lvl w:ilvl="3" w:tplc="078E103A" w:tentative="1">
      <w:start w:val="1"/>
      <w:numFmt w:val="bullet"/>
      <w:lvlText w:val="•"/>
      <w:lvlJc w:val="left"/>
      <w:pPr>
        <w:tabs>
          <w:tab w:val="num" w:pos="2520"/>
        </w:tabs>
        <w:ind w:left="2520" w:hanging="360"/>
      </w:pPr>
      <w:rPr>
        <w:rFonts w:ascii="Arial" w:hAnsi="Arial" w:hint="default"/>
      </w:rPr>
    </w:lvl>
    <w:lvl w:ilvl="4" w:tplc="F012A846" w:tentative="1">
      <w:start w:val="1"/>
      <w:numFmt w:val="bullet"/>
      <w:lvlText w:val="•"/>
      <w:lvlJc w:val="left"/>
      <w:pPr>
        <w:tabs>
          <w:tab w:val="num" w:pos="3240"/>
        </w:tabs>
        <w:ind w:left="3240" w:hanging="360"/>
      </w:pPr>
      <w:rPr>
        <w:rFonts w:ascii="Arial" w:hAnsi="Arial" w:hint="default"/>
      </w:rPr>
    </w:lvl>
    <w:lvl w:ilvl="5" w:tplc="18306AB0" w:tentative="1">
      <w:start w:val="1"/>
      <w:numFmt w:val="bullet"/>
      <w:lvlText w:val="•"/>
      <w:lvlJc w:val="left"/>
      <w:pPr>
        <w:tabs>
          <w:tab w:val="num" w:pos="3960"/>
        </w:tabs>
        <w:ind w:left="3960" w:hanging="360"/>
      </w:pPr>
      <w:rPr>
        <w:rFonts w:ascii="Arial" w:hAnsi="Arial" w:hint="default"/>
      </w:rPr>
    </w:lvl>
    <w:lvl w:ilvl="6" w:tplc="477008E6" w:tentative="1">
      <w:start w:val="1"/>
      <w:numFmt w:val="bullet"/>
      <w:lvlText w:val="•"/>
      <w:lvlJc w:val="left"/>
      <w:pPr>
        <w:tabs>
          <w:tab w:val="num" w:pos="4680"/>
        </w:tabs>
        <w:ind w:left="4680" w:hanging="360"/>
      </w:pPr>
      <w:rPr>
        <w:rFonts w:ascii="Arial" w:hAnsi="Arial" w:hint="default"/>
      </w:rPr>
    </w:lvl>
    <w:lvl w:ilvl="7" w:tplc="AEF0A2E0" w:tentative="1">
      <w:start w:val="1"/>
      <w:numFmt w:val="bullet"/>
      <w:lvlText w:val="•"/>
      <w:lvlJc w:val="left"/>
      <w:pPr>
        <w:tabs>
          <w:tab w:val="num" w:pos="5400"/>
        </w:tabs>
        <w:ind w:left="5400" w:hanging="360"/>
      </w:pPr>
      <w:rPr>
        <w:rFonts w:ascii="Arial" w:hAnsi="Arial" w:hint="default"/>
      </w:rPr>
    </w:lvl>
    <w:lvl w:ilvl="8" w:tplc="09EE4CDC" w:tentative="1">
      <w:start w:val="1"/>
      <w:numFmt w:val="bullet"/>
      <w:lvlText w:val="•"/>
      <w:lvlJc w:val="left"/>
      <w:pPr>
        <w:tabs>
          <w:tab w:val="num" w:pos="6120"/>
        </w:tabs>
        <w:ind w:left="6120" w:hanging="360"/>
      </w:pPr>
      <w:rPr>
        <w:rFonts w:ascii="Arial" w:hAnsi="Arial" w:hint="default"/>
      </w:rPr>
    </w:lvl>
  </w:abstractNum>
  <w:num w:numId="1" w16cid:durableId="710037973">
    <w:abstractNumId w:val="3"/>
  </w:num>
  <w:num w:numId="2" w16cid:durableId="1684428375">
    <w:abstractNumId w:val="2"/>
  </w:num>
  <w:num w:numId="3" w16cid:durableId="69427729">
    <w:abstractNumId w:val="0"/>
  </w:num>
  <w:num w:numId="4" w16cid:durableId="39847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CB"/>
    <w:rsid w:val="000D2894"/>
    <w:rsid w:val="0013003D"/>
    <w:rsid w:val="001366ED"/>
    <w:rsid w:val="0022403D"/>
    <w:rsid w:val="002F3045"/>
    <w:rsid w:val="00326082"/>
    <w:rsid w:val="004568E8"/>
    <w:rsid w:val="00486686"/>
    <w:rsid w:val="0053611D"/>
    <w:rsid w:val="00567B45"/>
    <w:rsid w:val="005F0796"/>
    <w:rsid w:val="005F7935"/>
    <w:rsid w:val="0065288B"/>
    <w:rsid w:val="006E21E8"/>
    <w:rsid w:val="00715C3E"/>
    <w:rsid w:val="00820FE3"/>
    <w:rsid w:val="00836B94"/>
    <w:rsid w:val="008C52B9"/>
    <w:rsid w:val="00963E77"/>
    <w:rsid w:val="009663B6"/>
    <w:rsid w:val="009E1CD5"/>
    <w:rsid w:val="00A9694F"/>
    <w:rsid w:val="00AE633E"/>
    <w:rsid w:val="00B213CB"/>
    <w:rsid w:val="00B9752D"/>
    <w:rsid w:val="00E06086"/>
    <w:rsid w:val="00EB21AF"/>
    <w:rsid w:val="00F14494"/>
    <w:rsid w:val="00FD07AB"/>
    <w:rsid w:val="00FE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966566"/>
  <w15:chartTrackingRefBased/>
  <w15:docId w15:val="{80D46D23-7DCE-4CD9-B407-040891E0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94"/>
    <w:rPr>
      <w:rFonts w:ascii="Arial" w:hAnsi="Arial"/>
      <w:lang w:eastAsia="en-US"/>
    </w:rPr>
  </w:style>
  <w:style w:type="paragraph" w:styleId="Heading1">
    <w:name w:val="heading 1"/>
    <w:basedOn w:val="Normal"/>
    <w:next w:val="Normal"/>
    <w:link w:val="Heading1Char"/>
    <w:uiPriority w:val="9"/>
    <w:qFormat/>
    <w:rsid w:val="00486686"/>
    <w:pPr>
      <w:keepNext/>
      <w:keepLines/>
      <w:spacing w:after="0" w:line="240" w:lineRule="auto"/>
      <w:outlineLvl w:val="0"/>
    </w:pPr>
    <w:rPr>
      <w:rFonts w:eastAsia="Times New Roman" w:cstheme="majorBidi"/>
      <w:b/>
      <w:bCs/>
      <w:color w:val="FAA41A"/>
      <w:sz w:val="32"/>
      <w:szCs w:val="28"/>
      <w:lang w:val="en-US" w:eastAsia="en-GB"/>
    </w:rPr>
  </w:style>
  <w:style w:type="paragraph" w:styleId="Heading2">
    <w:name w:val="heading 2"/>
    <w:basedOn w:val="Normal"/>
    <w:next w:val="Normal"/>
    <w:link w:val="Heading2Char"/>
    <w:uiPriority w:val="9"/>
    <w:unhideWhenUsed/>
    <w:qFormat/>
    <w:rsid w:val="00836B94"/>
    <w:pPr>
      <w:keepNext/>
      <w:keepLines/>
      <w:spacing w:before="120" w:after="120" w:line="240" w:lineRule="auto"/>
      <w:outlineLvl w:val="1"/>
    </w:pPr>
    <w:rPr>
      <w:rFonts w:eastAsiaTheme="majorEastAsia" w:cstheme="majorBidi"/>
      <w:b/>
      <w:bCs/>
      <w:i/>
      <w:color w:val="FAA41A"/>
      <w:sz w:val="28"/>
      <w:szCs w:val="26"/>
      <w:lang w:val="en-US" w:eastAsia="en-GB"/>
    </w:rPr>
  </w:style>
  <w:style w:type="paragraph" w:styleId="Heading3">
    <w:name w:val="heading 3"/>
    <w:basedOn w:val="Normal"/>
    <w:next w:val="Normal"/>
    <w:link w:val="Heading3Char"/>
    <w:uiPriority w:val="9"/>
    <w:semiHidden/>
    <w:unhideWhenUsed/>
    <w:qFormat/>
    <w:rsid w:val="006E21E8"/>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86"/>
    <w:rPr>
      <w:rFonts w:ascii="Arial" w:eastAsia="Times New Roman" w:hAnsi="Arial" w:cstheme="majorBidi"/>
      <w:b/>
      <w:bCs/>
      <w:color w:val="FAA41A"/>
      <w:sz w:val="32"/>
      <w:szCs w:val="28"/>
      <w:lang w:val="en-US"/>
    </w:rPr>
  </w:style>
  <w:style w:type="character" w:customStyle="1" w:styleId="Heading2Char">
    <w:name w:val="Heading 2 Char"/>
    <w:basedOn w:val="DefaultParagraphFont"/>
    <w:link w:val="Heading2"/>
    <w:uiPriority w:val="9"/>
    <w:rsid w:val="00836B94"/>
    <w:rPr>
      <w:rFonts w:ascii="Arial" w:eastAsiaTheme="majorEastAsia" w:hAnsi="Arial" w:cstheme="majorBidi"/>
      <w:b/>
      <w:bCs/>
      <w:i/>
      <w:color w:val="FAA41A"/>
      <w:sz w:val="28"/>
      <w:szCs w:val="26"/>
      <w:lang w:val="en-US"/>
    </w:rPr>
  </w:style>
  <w:style w:type="paragraph" w:styleId="NoSpacing">
    <w:name w:val="No Spacing"/>
    <w:uiPriority w:val="1"/>
    <w:qFormat/>
    <w:rsid w:val="006E21E8"/>
    <w:pPr>
      <w:spacing w:after="0" w:line="240" w:lineRule="auto"/>
    </w:pPr>
    <w:rPr>
      <w:rFonts w:ascii="Arial" w:hAnsi="Arial"/>
    </w:rPr>
  </w:style>
  <w:style w:type="paragraph" w:styleId="Quote">
    <w:name w:val="Quote"/>
    <w:basedOn w:val="Normal"/>
    <w:next w:val="Normal"/>
    <w:link w:val="QuoteChar"/>
    <w:uiPriority w:val="29"/>
    <w:qFormat/>
    <w:rsid w:val="00F14494"/>
    <w:rPr>
      <w:i/>
      <w:iCs/>
      <w:color w:val="FAA41A"/>
    </w:rPr>
  </w:style>
  <w:style w:type="character" w:customStyle="1" w:styleId="QuoteChar">
    <w:name w:val="Quote Char"/>
    <w:basedOn w:val="DefaultParagraphFont"/>
    <w:link w:val="Quote"/>
    <w:uiPriority w:val="29"/>
    <w:rsid w:val="00F14494"/>
    <w:rPr>
      <w:i/>
      <w:iCs/>
      <w:color w:val="FAA41A"/>
      <w:sz w:val="24"/>
    </w:rPr>
  </w:style>
  <w:style w:type="character" w:customStyle="1" w:styleId="Heading3Char">
    <w:name w:val="Heading 3 Char"/>
    <w:basedOn w:val="DefaultParagraphFont"/>
    <w:link w:val="Heading3"/>
    <w:uiPriority w:val="9"/>
    <w:semiHidden/>
    <w:rsid w:val="006E21E8"/>
    <w:rPr>
      <w:rFonts w:ascii="Arial" w:eastAsiaTheme="majorEastAsia" w:hAnsi="Arial" w:cstheme="majorBidi"/>
      <w:color w:val="30313B"/>
      <w:sz w:val="24"/>
      <w:szCs w:val="24"/>
    </w:rPr>
  </w:style>
  <w:style w:type="paragraph" w:styleId="IntenseQuote">
    <w:name w:val="Intense Quote"/>
    <w:basedOn w:val="Normal"/>
    <w:next w:val="Normal"/>
    <w:link w:val="IntenseQuoteChar"/>
    <w:uiPriority w:val="30"/>
    <w:qFormat/>
    <w:rsid w:val="006E21E8"/>
    <w:pPr>
      <w:pBdr>
        <w:top w:val="single" w:sz="4" w:space="10" w:color="FAA41A"/>
        <w:bottom w:val="single" w:sz="4" w:space="10" w:color="FAA41A"/>
      </w:pBdr>
      <w:spacing w:before="360" w:after="360"/>
      <w:ind w:left="864" w:right="864"/>
      <w:jc w:val="center"/>
    </w:pPr>
    <w:rPr>
      <w:i/>
      <w:iCs/>
      <w:color w:val="FAA41A"/>
    </w:rPr>
  </w:style>
  <w:style w:type="character" w:customStyle="1" w:styleId="IntenseQuoteChar">
    <w:name w:val="Intense Quote Char"/>
    <w:basedOn w:val="DefaultParagraphFont"/>
    <w:link w:val="IntenseQuote"/>
    <w:uiPriority w:val="30"/>
    <w:rsid w:val="006E21E8"/>
    <w:rPr>
      <w:rFonts w:ascii="Arial" w:hAnsi="Arial"/>
      <w:i/>
      <w:iCs/>
      <w:color w:val="FAA41A"/>
      <w:sz w:val="24"/>
    </w:rPr>
  </w:style>
  <w:style w:type="paragraph" w:styleId="Header">
    <w:name w:val="header"/>
    <w:basedOn w:val="Normal"/>
    <w:link w:val="HeaderChar"/>
    <w:uiPriority w:val="99"/>
    <w:unhideWhenUsed/>
    <w:rsid w:val="00E06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086"/>
    <w:rPr>
      <w:rFonts w:ascii="Arial" w:hAnsi="Arial"/>
      <w:lang w:eastAsia="en-US"/>
    </w:rPr>
  </w:style>
  <w:style w:type="paragraph" w:styleId="Footer">
    <w:name w:val="footer"/>
    <w:basedOn w:val="Normal"/>
    <w:link w:val="FooterChar"/>
    <w:uiPriority w:val="99"/>
    <w:unhideWhenUsed/>
    <w:rsid w:val="00E06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086"/>
    <w:rPr>
      <w:rFonts w:ascii="Arial" w:hAnsi="Arial"/>
      <w:lang w:eastAsia="en-US"/>
    </w:rPr>
  </w:style>
  <w:style w:type="paragraph" w:styleId="ListParagraph">
    <w:name w:val="List Paragraph"/>
    <w:basedOn w:val="Normal"/>
    <w:uiPriority w:val="34"/>
    <w:rsid w:val="0013003D"/>
    <w:pPr>
      <w:spacing w:after="0" w:line="240"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iGL">
      <a:dk1>
        <a:srgbClr val="25282A"/>
      </a:dk1>
      <a:lt1>
        <a:srgbClr val="FFA300"/>
      </a:lt1>
      <a:dk2>
        <a:srgbClr val="DA186A"/>
      </a:dk2>
      <a:lt2>
        <a:srgbClr val="0BB9AD"/>
      </a:lt2>
      <a:accent1>
        <a:srgbClr val="C7AD8F"/>
      </a:accent1>
      <a:accent2>
        <a:srgbClr val="EADFD4"/>
      </a:accent2>
      <a:accent3>
        <a:srgbClr val="FFFFFF"/>
      </a:accent3>
      <a:accent4>
        <a:srgbClr val="FFFFFF"/>
      </a:accent4>
      <a:accent5>
        <a:srgbClr val="FFFFFF"/>
      </a:accent5>
      <a:accent6>
        <a:srgbClr val="FFFFFF"/>
      </a:accent6>
      <a:hlink>
        <a:srgbClr val="0000FF"/>
      </a:hlink>
      <a:folHlink>
        <a:srgbClr val="800080"/>
      </a:folHlink>
    </a:clrScheme>
    <a:fontScheme name="GiGL">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Smith</dc:creator>
  <cp:keywords/>
  <dc:description/>
  <cp:lastModifiedBy>Mandy Rudd</cp:lastModifiedBy>
  <cp:revision>3</cp:revision>
  <dcterms:created xsi:type="dcterms:W3CDTF">2022-11-29T15:53:00Z</dcterms:created>
  <dcterms:modified xsi:type="dcterms:W3CDTF">2022-11-29T15:57:00Z</dcterms:modified>
</cp:coreProperties>
</file>